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F45B7F" w14:textId="1EF0F77D" w:rsidR="0012528E" w:rsidRPr="0012528E" w:rsidRDefault="0012528E" w:rsidP="0012528E">
      <w:pPr>
        <w:sectPr w:rsidR="0012528E" w:rsidRPr="0012528E" w:rsidSect="00E854CA">
          <w:headerReference w:type="even" r:id="rId8"/>
          <w:headerReference w:type="default" r:id="rId9"/>
          <w:footnotePr>
            <w:numRestart w:val="eachSect"/>
          </w:footnotePr>
          <w:type w:val="oddPage"/>
          <w:pgSz w:w="9639" w:h="13608" w:code="152"/>
          <w:pgMar w:top="1588" w:right="1191" w:bottom="1134" w:left="1191" w:header="1021" w:footer="0" w:gutter="0"/>
          <w:cols w:space="708"/>
          <w:titlePg/>
          <w:docGrid w:linePitch="360"/>
        </w:sectPr>
      </w:pPr>
    </w:p>
    <w:p w14:paraId="7C6FCD18" w14:textId="6EADB2F4" w:rsidR="006E7557" w:rsidRDefault="00E854CA" w:rsidP="00D71F13">
      <w:pPr>
        <w:pStyle w:val="Titolo3"/>
        <w:rPr>
          <w:rStyle w:val="Autore"/>
          <w:vertAlign w:val="superscript"/>
        </w:rPr>
      </w:pPr>
      <w:bookmarkStart w:id="0" w:name="_Toc233726582"/>
      <w:bookmarkStart w:id="1" w:name="_Toc199441472"/>
      <w:r w:rsidRPr="00930656">
        <w:rPr>
          <w:rFonts w:eastAsia="SimSun"/>
          <w:lang w:eastAsia="hi-IN" w:bidi="hi-IN"/>
        </w:rPr>
        <w:lastRenderedPageBreak/>
        <w:t xml:space="preserve">Titolo del </w:t>
      </w:r>
      <w:r w:rsidR="00930656" w:rsidRPr="00930656">
        <w:rPr>
          <w:rFonts w:eastAsia="SimSun"/>
          <w:lang w:eastAsia="hi-IN" w:bidi="hi-IN"/>
        </w:rPr>
        <w:t>paper</w:t>
      </w:r>
      <w:r w:rsidR="00DC018E" w:rsidRPr="00930656">
        <w:rPr>
          <w:rFonts w:eastAsia="SimSun"/>
          <w:lang w:eastAsia="hi-IN" w:bidi="hi-IN"/>
        </w:rPr>
        <w:br/>
      </w:r>
      <w:r w:rsidR="00930656" w:rsidRPr="00930656">
        <w:rPr>
          <w:rStyle w:val="Autore"/>
        </w:rPr>
        <w:t>Autor</w:t>
      </w:r>
      <w:r w:rsidR="00930656">
        <w:rPr>
          <w:rStyle w:val="Autore"/>
        </w:rPr>
        <w:t>e</w:t>
      </w:r>
      <w:r w:rsidR="00930656" w:rsidRPr="00930656">
        <w:rPr>
          <w:rStyle w:val="Autore"/>
          <w:sz w:val="22"/>
          <w:szCs w:val="22"/>
        </w:rPr>
        <w:footnoteReference w:customMarkFollows="1" w:id="2"/>
        <w:t>*</w:t>
      </w:r>
      <w:r w:rsidR="00930656" w:rsidRPr="00930656">
        <w:rPr>
          <w:rStyle w:val="Autore"/>
        </w:rPr>
        <w:t xml:space="preserve">, Autore, </w:t>
      </w:r>
      <w:r w:rsidR="00DC018E" w:rsidRPr="00930656">
        <w:rPr>
          <w:rStyle w:val="Autore"/>
        </w:rPr>
        <w:t>Autore</w:t>
      </w:r>
      <w:r w:rsidRPr="00930656">
        <w:rPr>
          <w:rStyle w:val="Autore"/>
          <w:vertAlign w:val="superscript"/>
        </w:rPr>
        <w:t> </w:t>
      </w:r>
      <w:bookmarkEnd w:id="0"/>
    </w:p>
    <w:p w14:paraId="0723F8D5" w14:textId="6CA5BFE6" w:rsidR="00703263" w:rsidRPr="00930656" w:rsidRDefault="00703263" w:rsidP="00703263">
      <w:pPr>
        <w:pStyle w:val="Abstract"/>
        <w:rPr>
          <w:lang w:val="en-US"/>
        </w:rPr>
      </w:pPr>
      <w:r w:rsidRPr="00930656">
        <w:rPr>
          <w:b/>
          <w:bCs/>
          <w:lang w:val="en-US"/>
        </w:rPr>
        <w:t>Abstract</w:t>
      </w:r>
      <w:r w:rsidRPr="00930656">
        <w:rPr>
          <w:smallCaps/>
          <w:lang w:val="en-US"/>
        </w:rPr>
        <w:t xml:space="preserve">: </w:t>
      </w:r>
      <w:r w:rsidRPr="00930656">
        <w:rPr>
          <w:lang w:val="en-US"/>
        </w:rPr>
        <w:t>Testo abstract Testo abstract Testo abstract Testo abstract Testo abstract Testo abstract Testo abstract Testo abstract Testo abstract Testo abstract Testo abstract Testo abstract Testo abstract Testo abstract Testo abstract Testo abstract Testo abstract Testo abstract Testo abstract Testo abstract Testo abstract Testo abstract Testo abstract Testo abstract Testo abstract Testo abstract Testo abstract Testo abstract Testo abstract Testo abstract Testo abstract Testo abstract Testo abstract Testo abstract Testo abstract</w:t>
      </w:r>
      <w:r w:rsidR="00930656">
        <w:rPr>
          <w:lang w:val="en-US"/>
        </w:rPr>
        <w:t xml:space="preserve"> (</w:t>
      </w:r>
      <w:r w:rsidR="00930656" w:rsidRPr="00D71F13">
        <w:rPr>
          <w:b/>
          <w:bCs/>
          <w:lang w:val="en-US"/>
        </w:rPr>
        <w:t>max 200 parole</w:t>
      </w:r>
      <w:r w:rsidR="00930656">
        <w:rPr>
          <w:lang w:val="en-US"/>
        </w:rPr>
        <w:t>)</w:t>
      </w:r>
    </w:p>
    <w:p w14:paraId="6D34ABAE" w14:textId="598E61FE" w:rsidR="00930656" w:rsidRDefault="00930656" w:rsidP="00DC018E">
      <w:pPr>
        <w:pStyle w:val="Titolo4"/>
      </w:pPr>
      <w:r>
        <w:t>Keywords: 5 al massimo, separate da virgole</w:t>
      </w:r>
    </w:p>
    <w:p w14:paraId="68833362" w14:textId="5BB239D8" w:rsidR="006E7557" w:rsidRPr="00DC018E" w:rsidRDefault="006E7557" w:rsidP="00DC018E">
      <w:pPr>
        <w:pStyle w:val="Titolo4"/>
      </w:pPr>
      <w:r w:rsidRPr="00DC018E">
        <w:t xml:space="preserve">1. </w:t>
      </w:r>
      <w:r w:rsidR="00930656">
        <w:t>Introduzione</w:t>
      </w:r>
      <w:r w:rsidRPr="00DC018E">
        <w:t xml:space="preserve"> </w:t>
      </w:r>
    </w:p>
    <w:p w14:paraId="053538AC" w14:textId="4B4AF1AA" w:rsidR="006E7557" w:rsidRPr="00584160" w:rsidRDefault="006E7557" w:rsidP="006E7557">
      <w:pPr>
        <w:pStyle w:val="Capoverso"/>
      </w:pPr>
      <w:r w:rsidRPr="00584160">
        <w:t>All</w:t>
      </w:r>
      <w:r w:rsidR="00E854CA">
        <w:t>’</w:t>
      </w:r>
      <w:r w:rsidRPr="00584160">
        <w:t xml:space="preserve">interno di una innovata cornice normativa, il giudice, a fronte di una richiesta di emissione di decreto penale di condanna, </w:t>
      </w:r>
      <w:r w:rsidRPr="000548B6">
        <w:t>ai sensi dell</w:t>
      </w:r>
      <w:r w:rsidR="00E854CA">
        <w:t>’</w:t>
      </w:r>
      <w:r w:rsidRPr="000548B6">
        <w:t xml:space="preserve">art. 459, comma 1 </w:t>
      </w:r>
      <w:r w:rsidRPr="00E854CA">
        <w:rPr>
          <w:i/>
          <w:iCs/>
        </w:rPr>
        <w:t>bis</w:t>
      </w:r>
      <w:r w:rsidRPr="000548B6">
        <w:t xml:space="preserve">, c.p.p., </w:t>
      </w:r>
      <w:r w:rsidRPr="00584160">
        <w:t>per determinare l</w:t>
      </w:r>
      <w:r w:rsidR="00E854CA">
        <w:t>’</w:t>
      </w:r>
      <w:r w:rsidRPr="00584160">
        <w:t>ammontare della pena pecuniaria in sostituzione della pena detentiva, individua il valore giornaliero al quale può essere assoggettato l</w:t>
      </w:r>
      <w:r w:rsidR="00E854CA">
        <w:t>’</w:t>
      </w:r>
      <w:r w:rsidRPr="00584160">
        <w:t xml:space="preserve">imputato e lo moltiplica per i giorni di pena detentiva; tale valore non può essere inferiore a 5 euro, e superiore a 250 </w:t>
      </w:r>
      <w:r>
        <w:t>euro</w:t>
      </w:r>
      <w:r w:rsidRPr="00584160">
        <w:t xml:space="preserve"> e corrisponde alla quota di reddito giornaliero che può essere impiegata per il pagamento della pena pecuniaria, tenendo conto delle complessive condizioni economiche. </w:t>
      </w:r>
    </w:p>
    <w:p w14:paraId="65CBD242" w14:textId="58946098" w:rsidR="006E7557" w:rsidRPr="00584160" w:rsidRDefault="006E7557" w:rsidP="006E7557">
      <w:pPr>
        <w:pStyle w:val="Capoverso"/>
      </w:pPr>
      <w:r w:rsidRPr="00584160">
        <w:t>La sentenza in commento offre l</w:t>
      </w:r>
      <w:r w:rsidR="00E854CA">
        <w:t>’</w:t>
      </w:r>
      <w:r w:rsidRPr="00584160">
        <w:t xml:space="preserve">occasione per riflettere </w:t>
      </w:r>
      <w:r>
        <w:t>sulle</w:t>
      </w:r>
      <w:r w:rsidRPr="00584160">
        <w:t xml:space="preserve"> interpolazioni legislative </w:t>
      </w:r>
      <w:r>
        <w:t>operate con la</w:t>
      </w:r>
      <w:r w:rsidR="00E854CA">
        <w:t xml:space="preserve"> </w:t>
      </w:r>
      <w:r>
        <w:t xml:space="preserve">riforma Cartabia: il </w:t>
      </w:r>
      <w:r w:rsidRPr="00584160">
        <w:t>caso di specie ha origine dall</w:t>
      </w:r>
      <w:r w:rsidR="00E854CA">
        <w:t>’</w:t>
      </w:r>
      <w:r w:rsidRPr="00584160">
        <w:t>emissione di un provvedimento con il quale giudice per le indagini preliminari restituisce</w:t>
      </w:r>
      <w:r>
        <w:t xml:space="preserve"> </w:t>
      </w:r>
      <w:r w:rsidRPr="00584160">
        <w:t>gli atti al pubblico ministero, in ragione dell</w:t>
      </w:r>
      <w:r w:rsidR="00E854CA">
        <w:t>’</w:t>
      </w:r>
      <w:r w:rsidRPr="00584160">
        <w:t xml:space="preserve">omessa produzione della documentazione attestante gli indici </w:t>
      </w:r>
      <w:r>
        <w:t>innovati,</w:t>
      </w:r>
      <w:r w:rsidRPr="00584160">
        <w:t xml:space="preserve"> sulla scorta dei quali commisurare l</w:t>
      </w:r>
      <w:r w:rsidR="00E854CA">
        <w:t>’</w:t>
      </w:r>
      <w:r w:rsidRPr="00584160">
        <w:t>ammontare della pena pecuniaria alla concreta situazione patrimoniale</w:t>
      </w:r>
      <w:r>
        <w:t xml:space="preserve">. </w:t>
      </w:r>
    </w:p>
    <w:p w14:paraId="574E1B85" w14:textId="47B08DFE" w:rsidR="006E7557" w:rsidRPr="00584160" w:rsidRDefault="006E7557" w:rsidP="006E7557">
      <w:pPr>
        <w:pStyle w:val="Capoverso"/>
      </w:pPr>
      <w:r w:rsidRPr="00584160">
        <w:t>Il pubblico ministero ricorrente lamenta l</w:t>
      </w:r>
      <w:r w:rsidR="00E854CA">
        <w:t>’</w:t>
      </w:r>
      <w:r w:rsidRPr="00584160">
        <w:t>abnormità del provvedimento</w:t>
      </w:r>
      <w:r>
        <w:t>,</w:t>
      </w:r>
      <w:r w:rsidRPr="00584160">
        <w:t xml:space="preserve"> atteso che la pena indicata, su cui operare la conversione, si sia attestata su un parametro minimo (euro 20 per ogni giorno di pena detentiva, entro la forbice tra 5 e 250 euro </w:t>
      </w:r>
      <w:r w:rsidRPr="00584160">
        <w:lastRenderedPageBreak/>
        <w:t>al giorno), procedendo con un</w:t>
      </w:r>
      <w:r w:rsidR="00E854CA">
        <w:t>’</w:t>
      </w:r>
      <w:r w:rsidRPr="00584160">
        <w:t>ulteriore riduzione per la scelta del rito premiale; per tale ragione, il giudice se avesse ritenuto la somma non congrua, avrebbe potuto – a parere della pubblica accusa –</w:t>
      </w:r>
      <w:r w:rsidR="00E854CA">
        <w:t xml:space="preserve"> </w:t>
      </w:r>
      <w:r w:rsidRPr="00584160">
        <w:t>concedere la sospensione condiz</w:t>
      </w:r>
      <w:r>
        <w:t>ionale della pena o ammettere l</w:t>
      </w:r>
      <w:r w:rsidR="00E854CA">
        <w:t>’</w:t>
      </w:r>
      <w:r w:rsidRPr="00584160">
        <w:t xml:space="preserve">imputato al pagamento rateale, ma comunque non negargli la possibilità di accedere al rito. </w:t>
      </w:r>
    </w:p>
    <w:p w14:paraId="6A82AC95" w14:textId="4A26E426" w:rsidR="006E7557" w:rsidRPr="00584160" w:rsidRDefault="006E7557" w:rsidP="006E7557">
      <w:pPr>
        <w:pStyle w:val="Capoverso"/>
      </w:pPr>
      <w:r w:rsidRPr="00584160">
        <w:t>La Cassazione</w:t>
      </w:r>
      <w:r>
        <w:t xml:space="preserve">, nella decisione </w:t>
      </w:r>
      <w:r w:rsidRPr="00E854CA">
        <w:rPr>
          <w:i/>
          <w:iCs/>
        </w:rPr>
        <w:t>de qua</w:t>
      </w:r>
      <w:r w:rsidRPr="009107E6">
        <w:t>,</w:t>
      </w:r>
      <w:r w:rsidRPr="00584160">
        <w:t xml:space="preserve"> non ritiene</w:t>
      </w:r>
      <w:r>
        <w:t>, invece,</w:t>
      </w:r>
      <w:r w:rsidRPr="00584160">
        <w:t xml:space="preserve"> che l</w:t>
      </w:r>
      <w:r w:rsidR="00E854CA">
        <w:t>’</w:t>
      </w:r>
      <w:r w:rsidRPr="00584160">
        <w:t>ordinanza abbia interferito con le attribuzioni istituzionali della pubblica accusa circa le modalità di esercizio dell</w:t>
      </w:r>
      <w:r w:rsidR="00E854CA">
        <w:t>’</w:t>
      </w:r>
      <w:r w:rsidRPr="00584160">
        <w:t>azione penale e di strutturazione dell</w:t>
      </w:r>
      <w:r w:rsidR="00E854CA">
        <w:t>’</w:t>
      </w:r>
      <w:r w:rsidRPr="00584160">
        <w:t>imputazione, posto che in essa non si è fatto riferimento alla prognosi negativa circa l</w:t>
      </w:r>
      <w:r w:rsidR="00E854CA">
        <w:t>’</w:t>
      </w:r>
      <w:r w:rsidRPr="00584160">
        <w:t>adempimento della pena pecuniaria, ma alla mancata indicazione da parte del pubblico ministero di elementi idonei a determinare le complessive condizioni economico-familiari dell</w:t>
      </w:r>
      <w:r w:rsidR="00E854CA">
        <w:t>’</w:t>
      </w:r>
      <w:r w:rsidRPr="00584160">
        <w:t>imputato, ai fini della valutazione a lui attribuita della congruità della pena.</w:t>
      </w:r>
    </w:p>
    <w:p w14:paraId="21781003" w14:textId="02BC29BF" w:rsidR="006E7557" w:rsidRPr="00584160" w:rsidRDefault="006E7557" w:rsidP="00DC018E">
      <w:pPr>
        <w:pStyle w:val="Titolo4"/>
        <w:rPr>
          <w:rFonts w:eastAsia="SimSun"/>
          <w:lang w:eastAsia="hi-IN" w:bidi="hi-IN"/>
        </w:rPr>
      </w:pPr>
      <w:r>
        <w:rPr>
          <w:rFonts w:eastAsia="SimSun"/>
          <w:lang w:eastAsia="hi-IN" w:bidi="hi-IN"/>
        </w:rPr>
        <w:t xml:space="preserve">2. </w:t>
      </w:r>
      <w:r w:rsidR="00296B41">
        <w:rPr>
          <w:rFonts w:eastAsia="SimSun"/>
          <w:lang w:eastAsia="hi-IN" w:bidi="hi-IN"/>
        </w:rPr>
        <w:t xml:space="preserve">Analisi della letteratura </w:t>
      </w:r>
    </w:p>
    <w:p w14:paraId="160B0960" w14:textId="39AFD931" w:rsidR="006E7557" w:rsidRPr="00584160" w:rsidRDefault="006E7557" w:rsidP="00DC018E">
      <w:pPr>
        <w:pStyle w:val="Capoverso"/>
      </w:pPr>
      <w:r>
        <w:t>I</w:t>
      </w:r>
      <w:r w:rsidRPr="00584160">
        <w:t>l procedimento per decreto è</w:t>
      </w:r>
      <w:r>
        <w:t xml:space="preserve">, </w:t>
      </w:r>
      <w:r w:rsidRPr="00DC018E">
        <w:t>indubbiamente</w:t>
      </w:r>
      <w:r>
        <w:t>, il</w:t>
      </w:r>
      <w:r w:rsidRPr="00584160">
        <w:t xml:space="preserve"> </w:t>
      </w:r>
      <w:r>
        <w:t>rito speciale</w:t>
      </w:r>
      <w:r w:rsidRPr="00584160">
        <w:t xml:space="preserve"> dalle origini più antiche</w:t>
      </w:r>
      <w:r w:rsidRPr="00584160">
        <w:rPr>
          <w:rStyle w:val="Rimandonotaapidipagina"/>
          <w:spacing w:val="-4"/>
          <w:sz w:val="24"/>
        </w:rPr>
        <w:t> </w:t>
      </w:r>
      <w:r w:rsidRPr="00584160">
        <w:t>, che riceve con il codice del 1988 e per il tramite di successivi interventi legislativi</w:t>
      </w:r>
      <w:r w:rsidRPr="00584160">
        <w:rPr>
          <w:rStyle w:val="Rimandonotaapidipagina"/>
          <w:spacing w:val="-4"/>
          <w:sz w:val="24"/>
        </w:rPr>
        <w:t> </w:t>
      </w:r>
      <w:r w:rsidRPr="00584160">
        <w:t>, un rinnovato interesse, tradotto in una tendenziale espansione dell</w:t>
      </w:r>
      <w:r w:rsidR="00E854CA">
        <w:t>’</w:t>
      </w:r>
      <w:r w:rsidRPr="00584160">
        <w:t>ambito di operatività</w:t>
      </w:r>
      <w:r w:rsidRPr="00584160">
        <w:rPr>
          <w:rStyle w:val="Rimandonotaapidipagina"/>
          <w:spacing w:val="-4"/>
          <w:sz w:val="24"/>
        </w:rPr>
        <w:t> </w:t>
      </w:r>
      <w:r w:rsidRPr="00584160">
        <w:t>, tanto sotto il profilo di ammissibilità del rito, quanto nell</w:t>
      </w:r>
      <w:r w:rsidR="00E854CA">
        <w:t>’</w:t>
      </w:r>
      <w:r w:rsidRPr="00584160">
        <w:t xml:space="preserve">ottica di una maggiore premialità. </w:t>
      </w:r>
    </w:p>
    <w:p w14:paraId="746C8511" w14:textId="040D21B9" w:rsidR="00703263" w:rsidRDefault="00860A49" w:rsidP="00703263">
      <w:pPr>
        <w:pStyle w:val="Didascalia"/>
      </w:pPr>
      <w:r>
        <w:rPr>
          <w:b w:val="0"/>
          <w:bCs/>
        </w:rPr>
        <w:t>F</w:t>
      </w:r>
      <w:r w:rsidR="00703263" w:rsidRPr="00703263">
        <w:rPr>
          <w:b w:val="0"/>
          <w:bCs/>
        </w:rPr>
        <w:t xml:space="preserve">igura 1. – </w:t>
      </w:r>
      <w:r w:rsidR="00703263">
        <w:t>Didascalia figura</w:t>
      </w:r>
    </w:p>
    <w:p w14:paraId="21DE39E6" w14:textId="44EF7053" w:rsidR="00703263" w:rsidRDefault="00703263" w:rsidP="00703263">
      <w:pPr>
        <w:pStyle w:val="Figura"/>
        <w:jc w:val="left"/>
      </w:pPr>
      <w:r>
        <w:rPr>
          <w:noProof/>
        </w:rPr>
        <w:drawing>
          <wp:inline distT="0" distB="0" distL="0" distR="0" wp14:anchorId="30B4F87E" wp14:editId="4A577AFE">
            <wp:extent cx="4391025" cy="1838325"/>
            <wp:effectExtent l="0" t="0" r="0" b="0"/>
            <wp:docPr id="7480443" name="Gra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745F337" w14:textId="7467FD1F" w:rsidR="00703263" w:rsidRPr="00703263" w:rsidRDefault="00703263" w:rsidP="00703263">
      <w:pPr>
        <w:pStyle w:val="Fonte"/>
      </w:pPr>
      <w:r w:rsidRPr="00703263">
        <w:rPr>
          <w:rFonts w:ascii="ZapfHumnst BT" w:hAnsi="ZapfHumnst BT"/>
          <w:b/>
          <w:bCs/>
        </w:rPr>
        <w:t>Fonte</w:t>
      </w:r>
      <w:r w:rsidRPr="00703263">
        <w:t>: elaborazione personale.</w:t>
      </w:r>
    </w:p>
    <w:p w14:paraId="26B20448" w14:textId="3D9ABDB4" w:rsidR="006E7557" w:rsidRPr="00584160" w:rsidRDefault="006E7557" w:rsidP="006E7557">
      <w:pPr>
        <w:pStyle w:val="Capoverso"/>
      </w:pPr>
      <w:r w:rsidRPr="00584160">
        <w:t>Tanto accennato consente di cogliere l</w:t>
      </w:r>
      <w:r w:rsidR="00E854CA">
        <w:t>’</w:t>
      </w:r>
      <w:r w:rsidRPr="00584160">
        <w:t>alta potenzialità deflattiva del rito, improntato com</w:t>
      </w:r>
      <w:r w:rsidR="00E854CA">
        <w:t>’</w:t>
      </w:r>
      <w:r w:rsidRPr="00584160">
        <w:t xml:space="preserve">è a criteri di economia processuale e di massima speditezza, in linea con le avvertite esigenze di funzionalità ed efficienza del sistema. Ragione, questa, per la quale, nel quadro di un riassetto normativo volto a garantire un recupero </w:t>
      </w:r>
      <w:r w:rsidRPr="00584160">
        <w:lastRenderedPageBreak/>
        <w:t>dell</w:t>
      </w:r>
      <w:r w:rsidR="00E854CA">
        <w:t>’</w:t>
      </w:r>
      <w:r w:rsidRPr="00584160">
        <w:t>effettività dell</w:t>
      </w:r>
      <w:r w:rsidR="00E854CA">
        <w:t>’</w:t>
      </w:r>
      <w:r w:rsidRPr="00584160">
        <w:t>amministrazione della giustizia, il legislatore attuale non perde l</w:t>
      </w:r>
      <w:r w:rsidR="00E854CA">
        <w:t>’</w:t>
      </w:r>
      <w:r w:rsidRPr="00584160">
        <w:t>occasione per potenziare l</w:t>
      </w:r>
      <w:r w:rsidR="00E854CA">
        <w:t>’</w:t>
      </w:r>
      <w:r w:rsidRPr="00584160">
        <w:t xml:space="preserve">appetibilità del rito in funzione di decongestionamento del processo. </w:t>
      </w:r>
    </w:p>
    <w:p w14:paraId="79ADDEF7" w14:textId="77777777" w:rsidR="00703263" w:rsidRPr="00E14F30" w:rsidRDefault="00703263" w:rsidP="00703263">
      <w:pPr>
        <w:pStyle w:val="Didascalia"/>
      </w:pPr>
      <w:r w:rsidRPr="00703263">
        <w:rPr>
          <w:b w:val="0"/>
          <w:bCs/>
          <w:iCs w:val="0"/>
        </w:rPr>
        <w:t xml:space="preserve">Tabella 1. – </w:t>
      </w:r>
      <w:r w:rsidRPr="00E14F30">
        <w:t>Top-5 Procure S.D.A.S. per performance complessiva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8" w:type="dxa"/>
          <w:right w:w="68" w:type="dxa"/>
        </w:tblCellMar>
        <w:tblLook w:val="0400" w:firstRow="0" w:lastRow="0" w:firstColumn="0" w:lastColumn="0" w:noHBand="0" w:noVBand="1"/>
      </w:tblPr>
      <w:tblGrid>
        <w:gridCol w:w="1681"/>
        <w:gridCol w:w="880"/>
        <w:gridCol w:w="881"/>
        <w:gridCol w:w="1029"/>
        <w:gridCol w:w="1755"/>
        <w:gridCol w:w="1021"/>
      </w:tblGrid>
      <w:tr w:rsidR="00703263" w:rsidRPr="00703263" w14:paraId="120081E3" w14:textId="77777777" w:rsidTr="00703263">
        <w:trPr>
          <w:jc w:val="center"/>
        </w:trPr>
        <w:tc>
          <w:tcPr>
            <w:tcW w:w="1659" w:type="dxa"/>
          </w:tcPr>
          <w:p w14:paraId="1E4FA165" w14:textId="77777777" w:rsidR="00703263" w:rsidRPr="00703263" w:rsidRDefault="00703263" w:rsidP="00B104D1">
            <w:pPr>
              <w:spacing w:before="40" w:after="40" w:line="220" w:lineRule="exact"/>
              <w:jc w:val="center"/>
              <w:rPr>
                <w:rFonts w:ascii="ZapfHumnst BT" w:eastAsia="Garamond" w:hAnsi="ZapfHumnst BT" w:cs="Garamond"/>
                <w:b/>
                <w:bCs/>
                <w:color w:val="000000"/>
                <w:sz w:val="18"/>
                <w:szCs w:val="18"/>
              </w:rPr>
            </w:pPr>
            <w:r w:rsidRPr="00703263">
              <w:rPr>
                <w:rFonts w:ascii="ZapfHumnst BT" w:eastAsia="Garamond" w:hAnsi="ZapfHumnst BT" w:cs="Garamond"/>
                <w:b/>
                <w:bCs/>
                <w:sz w:val="18"/>
                <w:szCs w:val="18"/>
              </w:rPr>
              <w:t>Procura</w:t>
            </w:r>
          </w:p>
        </w:tc>
        <w:tc>
          <w:tcPr>
            <w:tcW w:w="869" w:type="dxa"/>
          </w:tcPr>
          <w:p w14:paraId="6FEF5650" w14:textId="77777777" w:rsidR="00703263" w:rsidRPr="00703263" w:rsidRDefault="00703263" w:rsidP="00B104D1">
            <w:pPr>
              <w:spacing w:before="40" w:after="40" w:line="220" w:lineRule="exact"/>
              <w:jc w:val="center"/>
              <w:rPr>
                <w:rFonts w:ascii="ZapfHumnst BT" w:eastAsia="Garamond" w:hAnsi="ZapfHumnst BT" w:cs="Garamond"/>
                <w:b/>
                <w:bCs/>
                <w:color w:val="000000"/>
                <w:sz w:val="18"/>
                <w:szCs w:val="18"/>
              </w:rPr>
            </w:pPr>
            <w:r w:rsidRPr="00703263">
              <w:rPr>
                <w:rFonts w:ascii="ZapfHumnst BT" w:eastAsia="Garamond" w:hAnsi="ZapfHumnst BT" w:cs="Garamond"/>
                <w:b/>
                <w:bCs/>
                <w:sz w:val="18"/>
                <w:szCs w:val="18"/>
              </w:rPr>
              <w:t xml:space="preserve">%CR </w:t>
            </w:r>
          </w:p>
        </w:tc>
        <w:tc>
          <w:tcPr>
            <w:tcW w:w="870" w:type="dxa"/>
          </w:tcPr>
          <w:p w14:paraId="4BCF24DC" w14:textId="77777777" w:rsidR="00703263" w:rsidRPr="00703263" w:rsidRDefault="00703263" w:rsidP="00B104D1">
            <w:pPr>
              <w:spacing w:before="40" w:after="40" w:line="220" w:lineRule="exact"/>
              <w:jc w:val="center"/>
              <w:rPr>
                <w:rFonts w:ascii="ZapfHumnst BT" w:eastAsia="Garamond" w:hAnsi="ZapfHumnst BT" w:cs="Garamond"/>
                <w:b/>
                <w:bCs/>
                <w:color w:val="000000"/>
                <w:sz w:val="18"/>
                <w:szCs w:val="18"/>
              </w:rPr>
            </w:pPr>
            <w:r w:rsidRPr="00703263">
              <w:rPr>
                <w:rFonts w:ascii="ZapfHumnst BT" w:eastAsia="Garamond" w:hAnsi="ZapfHumnst BT" w:cs="Garamond"/>
                <w:b/>
                <w:bCs/>
                <w:sz w:val="18"/>
                <w:szCs w:val="18"/>
              </w:rPr>
              <w:t>Rank-I</w:t>
            </w:r>
          </w:p>
        </w:tc>
        <w:tc>
          <w:tcPr>
            <w:tcW w:w="1016" w:type="dxa"/>
          </w:tcPr>
          <w:p w14:paraId="64C5F80B" w14:textId="77777777" w:rsidR="00703263" w:rsidRPr="00703263" w:rsidRDefault="00703263" w:rsidP="00B104D1">
            <w:pPr>
              <w:spacing w:before="40" w:after="40" w:line="220" w:lineRule="exact"/>
              <w:jc w:val="center"/>
              <w:rPr>
                <w:rFonts w:ascii="ZapfHumnst BT" w:eastAsia="Garamond" w:hAnsi="ZapfHumnst BT" w:cs="Garamond"/>
                <w:b/>
                <w:bCs/>
                <w:color w:val="000000"/>
                <w:sz w:val="18"/>
                <w:szCs w:val="18"/>
              </w:rPr>
            </w:pPr>
            <w:r w:rsidRPr="00703263">
              <w:rPr>
                <w:rFonts w:ascii="ZapfHumnst BT" w:eastAsia="Garamond" w:hAnsi="ZapfHumnst BT" w:cs="Garamond"/>
                <w:b/>
                <w:bCs/>
                <w:sz w:val="18"/>
                <w:szCs w:val="18"/>
              </w:rPr>
              <w:t>Rank-II</w:t>
            </w:r>
          </w:p>
        </w:tc>
        <w:tc>
          <w:tcPr>
            <w:tcW w:w="1733" w:type="dxa"/>
          </w:tcPr>
          <w:p w14:paraId="19C99BF5" w14:textId="77777777" w:rsidR="00703263" w:rsidRPr="00703263" w:rsidRDefault="00703263" w:rsidP="00B104D1">
            <w:pPr>
              <w:spacing w:before="40" w:after="40" w:line="220" w:lineRule="exact"/>
              <w:jc w:val="center"/>
              <w:rPr>
                <w:rFonts w:ascii="ZapfHumnst BT" w:eastAsia="Garamond" w:hAnsi="ZapfHumnst BT" w:cs="Garamond"/>
                <w:b/>
                <w:bCs/>
                <w:color w:val="000000"/>
                <w:sz w:val="18"/>
                <w:szCs w:val="18"/>
              </w:rPr>
            </w:pPr>
            <w:r w:rsidRPr="00703263">
              <w:rPr>
                <w:rFonts w:ascii="ZapfHumnst BT" w:eastAsia="Garamond" w:hAnsi="ZapfHumnst BT" w:cs="Garamond"/>
                <w:b/>
                <w:bCs/>
                <w:sz w:val="18"/>
                <w:szCs w:val="18"/>
              </w:rPr>
              <w:t>Iscritti medi/anno</w:t>
            </w:r>
          </w:p>
        </w:tc>
        <w:tc>
          <w:tcPr>
            <w:tcW w:w="1008" w:type="dxa"/>
          </w:tcPr>
          <w:p w14:paraId="6670D74D" w14:textId="77777777" w:rsidR="00703263" w:rsidRPr="00703263" w:rsidRDefault="00703263" w:rsidP="00B104D1">
            <w:pPr>
              <w:spacing w:before="40" w:after="40" w:line="220" w:lineRule="exact"/>
              <w:jc w:val="center"/>
              <w:rPr>
                <w:rFonts w:ascii="ZapfHumnst BT" w:eastAsia="Garamond" w:hAnsi="ZapfHumnst BT" w:cs="Garamond"/>
                <w:b/>
                <w:bCs/>
                <w:sz w:val="18"/>
                <w:szCs w:val="18"/>
              </w:rPr>
            </w:pPr>
            <w:r w:rsidRPr="00703263">
              <w:rPr>
                <w:rFonts w:ascii="Calibri" w:eastAsia="Cambria" w:hAnsi="Calibri" w:cs="Calibri"/>
                <w:b/>
                <w:bCs/>
                <w:sz w:val="18"/>
                <w:szCs w:val="18"/>
              </w:rPr>
              <w:t>Δ</w:t>
            </w:r>
            <w:r w:rsidRPr="00703263">
              <w:rPr>
                <w:rFonts w:ascii="ZapfHumnst BT" w:eastAsia="Garamond" w:hAnsi="ZapfHumnst BT" w:cs="Garamond"/>
                <w:b/>
                <w:bCs/>
                <w:sz w:val="18"/>
                <w:szCs w:val="18"/>
              </w:rPr>
              <w:t>% 20-24</w:t>
            </w:r>
          </w:p>
        </w:tc>
      </w:tr>
      <w:tr w:rsidR="00703263" w:rsidRPr="00703263" w14:paraId="389F7677" w14:textId="77777777" w:rsidTr="00703263">
        <w:trPr>
          <w:jc w:val="center"/>
        </w:trPr>
        <w:tc>
          <w:tcPr>
            <w:tcW w:w="1659" w:type="dxa"/>
          </w:tcPr>
          <w:p w14:paraId="38839DEF" w14:textId="77777777" w:rsidR="00703263" w:rsidRPr="00703263" w:rsidRDefault="00703263" w:rsidP="00B104D1">
            <w:pPr>
              <w:spacing w:before="40" w:after="40" w:line="220" w:lineRule="exact"/>
              <w:jc w:val="center"/>
              <w:rPr>
                <w:rFonts w:ascii="ZapfHumnst BT" w:eastAsia="Garamond" w:hAnsi="ZapfHumnst BT" w:cs="Garamond"/>
                <w:color w:val="000000"/>
                <w:sz w:val="18"/>
                <w:szCs w:val="18"/>
              </w:rPr>
            </w:pPr>
            <w:r w:rsidRPr="00703263">
              <w:rPr>
                <w:rFonts w:ascii="ZapfHumnst BT" w:eastAsia="Garamond" w:hAnsi="ZapfHumnst BT" w:cs="Garamond"/>
                <w:sz w:val="18"/>
                <w:szCs w:val="18"/>
              </w:rPr>
              <w:t>Potenza</w:t>
            </w:r>
          </w:p>
        </w:tc>
        <w:tc>
          <w:tcPr>
            <w:tcW w:w="869" w:type="dxa"/>
          </w:tcPr>
          <w:p w14:paraId="2C4EA3B4" w14:textId="77777777" w:rsidR="00703263" w:rsidRPr="00703263" w:rsidRDefault="00703263" w:rsidP="00B104D1">
            <w:pPr>
              <w:spacing w:before="40" w:after="40" w:line="220" w:lineRule="exact"/>
              <w:jc w:val="center"/>
              <w:rPr>
                <w:rFonts w:ascii="ZapfHumnst BT" w:eastAsia="Garamond" w:hAnsi="ZapfHumnst BT" w:cs="Garamond"/>
                <w:color w:val="000000"/>
                <w:sz w:val="18"/>
                <w:szCs w:val="18"/>
              </w:rPr>
            </w:pPr>
            <w:r w:rsidRPr="00703263">
              <w:rPr>
                <w:rFonts w:ascii="ZapfHumnst BT" w:eastAsia="Garamond" w:hAnsi="ZapfHumnst BT" w:cs="Garamond"/>
                <w:sz w:val="18"/>
                <w:szCs w:val="18"/>
              </w:rPr>
              <w:t>105,1%</w:t>
            </w:r>
          </w:p>
        </w:tc>
        <w:tc>
          <w:tcPr>
            <w:tcW w:w="870" w:type="dxa"/>
          </w:tcPr>
          <w:p w14:paraId="5FEB0DF9" w14:textId="77777777" w:rsidR="00703263" w:rsidRPr="00703263" w:rsidRDefault="00703263" w:rsidP="00B104D1">
            <w:pPr>
              <w:spacing w:before="40" w:after="40" w:line="220" w:lineRule="exact"/>
              <w:jc w:val="center"/>
              <w:rPr>
                <w:rFonts w:ascii="ZapfHumnst BT" w:eastAsia="Garamond" w:hAnsi="ZapfHumnst BT" w:cs="Garamond"/>
                <w:color w:val="000000"/>
                <w:sz w:val="18"/>
                <w:szCs w:val="18"/>
              </w:rPr>
            </w:pPr>
            <w:r w:rsidRPr="00703263">
              <w:rPr>
                <w:rFonts w:ascii="ZapfHumnst BT" w:eastAsia="Garamond" w:hAnsi="ZapfHumnst BT" w:cs="Garamond"/>
                <w:sz w:val="18"/>
                <w:szCs w:val="18"/>
              </w:rPr>
              <w:t>2</w:t>
            </w:r>
          </w:p>
        </w:tc>
        <w:tc>
          <w:tcPr>
            <w:tcW w:w="1016" w:type="dxa"/>
          </w:tcPr>
          <w:p w14:paraId="578404A3" w14:textId="77777777" w:rsidR="00703263" w:rsidRPr="00703263" w:rsidRDefault="00703263" w:rsidP="00B104D1">
            <w:pPr>
              <w:spacing w:before="40" w:after="40" w:line="220" w:lineRule="exact"/>
              <w:jc w:val="center"/>
              <w:rPr>
                <w:rFonts w:ascii="ZapfHumnst BT" w:eastAsia="Garamond" w:hAnsi="ZapfHumnst BT" w:cs="Garamond"/>
                <w:color w:val="000000"/>
                <w:sz w:val="18"/>
                <w:szCs w:val="18"/>
              </w:rPr>
            </w:pPr>
            <w:r w:rsidRPr="00703263">
              <w:rPr>
                <w:rFonts w:ascii="ZapfHumnst BT" w:eastAsia="Garamond" w:hAnsi="ZapfHumnst BT" w:cs="Garamond"/>
                <w:sz w:val="18"/>
                <w:szCs w:val="18"/>
              </w:rPr>
              <w:t>17</w:t>
            </w:r>
          </w:p>
        </w:tc>
        <w:tc>
          <w:tcPr>
            <w:tcW w:w="1733" w:type="dxa"/>
          </w:tcPr>
          <w:p w14:paraId="7EB2D2BA" w14:textId="77777777" w:rsidR="00703263" w:rsidRPr="00703263" w:rsidRDefault="00703263" w:rsidP="00B104D1">
            <w:pPr>
              <w:spacing w:before="40" w:after="40" w:line="220" w:lineRule="exact"/>
              <w:jc w:val="center"/>
              <w:rPr>
                <w:rFonts w:ascii="ZapfHumnst BT" w:eastAsia="Garamond" w:hAnsi="ZapfHumnst BT" w:cs="Garamond"/>
                <w:color w:val="000000"/>
                <w:sz w:val="18"/>
                <w:szCs w:val="18"/>
              </w:rPr>
            </w:pPr>
            <w:r w:rsidRPr="00703263">
              <w:rPr>
                <w:rFonts w:ascii="ZapfHumnst BT" w:eastAsia="Garamond" w:hAnsi="ZapfHumnst BT" w:cs="Garamond"/>
                <w:sz w:val="18"/>
                <w:szCs w:val="18"/>
              </w:rPr>
              <w:t>5.220</w:t>
            </w:r>
          </w:p>
        </w:tc>
        <w:tc>
          <w:tcPr>
            <w:tcW w:w="1008" w:type="dxa"/>
          </w:tcPr>
          <w:p w14:paraId="2D4B30E4" w14:textId="77777777" w:rsidR="00703263" w:rsidRPr="00703263" w:rsidRDefault="00703263" w:rsidP="00B104D1">
            <w:pPr>
              <w:spacing w:before="40" w:after="40" w:line="220" w:lineRule="exact"/>
              <w:jc w:val="center"/>
              <w:rPr>
                <w:rFonts w:ascii="ZapfHumnst BT" w:eastAsia="Garamond" w:hAnsi="ZapfHumnst BT" w:cs="Garamond"/>
                <w:sz w:val="18"/>
                <w:szCs w:val="18"/>
              </w:rPr>
            </w:pPr>
            <w:r w:rsidRPr="00703263">
              <w:rPr>
                <w:rFonts w:ascii="ZapfHumnst BT" w:eastAsia="Garamond" w:hAnsi="ZapfHumnst BT" w:cs="Garamond"/>
                <w:sz w:val="18"/>
                <w:szCs w:val="18"/>
              </w:rPr>
              <w:t>23,9%</w:t>
            </w:r>
          </w:p>
        </w:tc>
      </w:tr>
      <w:tr w:rsidR="00703263" w:rsidRPr="00703263" w14:paraId="77B6F6C5" w14:textId="77777777" w:rsidTr="00703263">
        <w:trPr>
          <w:jc w:val="center"/>
        </w:trPr>
        <w:tc>
          <w:tcPr>
            <w:tcW w:w="1659" w:type="dxa"/>
          </w:tcPr>
          <w:p w14:paraId="589092B0" w14:textId="77777777" w:rsidR="00703263" w:rsidRPr="00703263" w:rsidRDefault="00703263" w:rsidP="00B104D1">
            <w:pPr>
              <w:spacing w:before="40" w:after="40" w:line="220" w:lineRule="exact"/>
              <w:jc w:val="center"/>
              <w:rPr>
                <w:rFonts w:ascii="ZapfHumnst BT" w:eastAsia="Garamond" w:hAnsi="ZapfHumnst BT" w:cs="Garamond"/>
                <w:color w:val="000000"/>
                <w:sz w:val="18"/>
                <w:szCs w:val="18"/>
              </w:rPr>
            </w:pPr>
            <w:r w:rsidRPr="00703263">
              <w:rPr>
                <w:rFonts w:ascii="ZapfHumnst BT" w:eastAsia="Garamond" w:hAnsi="ZapfHumnst BT" w:cs="Garamond"/>
                <w:sz w:val="18"/>
                <w:szCs w:val="18"/>
              </w:rPr>
              <w:t>Tivoli</w:t>
            </w:r>
          </w:p>
        </w:tc>
        <w:tc>
          <w:tcPr>
            <w:tcW w:w="869" w:type="dxa"/>
          </w:tcPr>
          <w:p w14:paraId="3D585383" w14:textId="77777777" w:rsidR="00703263" w:rsidRPr="00703263" w:rsidRDefault="00703263" w:rsidP="00B104D1">
            <w:pPr>
              <w:spacing w:before="40" w:after="40" w:line="220" w:lineRule="exact"/>
              <w:jc w:val="center"/>
              <w:rPr>
                <w:rFonts w:ascii="ZapfHumnst BT" w:eastAsia="Garamond" w:hAnsi="ZapfHumnst BT" w:cs="Garamond"/>
                <w:color w:val="000000"/>
                <w:sz w:val="18"/>
                <w:szCs w:val="18"/>
              </w:rPr>
            </w:pPr>
            <w:r w:rsidRPr="00703263">
              <w:rPr>
                <w:rFonts w:ascii="ZapfHumnst BT" w:eastAsia="Garamond" w:hAnsi="ZapfHumnst BT" w:cs="Garamond"/>
                <w:sz w:val="18"/>
                <w:szCs w:val="18"/>
              </w:rPr>
              <w:t>103,6%</w:t>
            </w:r>
          </w:p>
        </w:tc>
        <w:tc>
          <w:tcPr>
            <w:tcW w:w="870" w:type="dxa"/>
          </w:tcPr>
          <w:p w14:paraId="00889FD0" w14:textId="77777777" w:rsidR="00703263" w:rsidRPr="00703263" w:rsidRDefault="00703263" w:rsidP="00B104D1">
            <w:pPr>
              <w:spacing w:before="40" w:after="40" w:line="220" w:lineRule="exact"/>
              <w:jc w:val="center"/>
              <w:rPr>
                <w:rFonts w:ascii="ZapfHumnst BT" w:eastAsia="Garamond" w:hAnsi="ZapfHumnst BT" w:cs="Garamond"/>
                <w:color w:val="000000"/>
                <w:sz w:val="18"/>
                <w:szCs w:val="18"/>
              </w:rPr>
            </w:pPr>
            <w:r w:rsidRPr="00703263">
              <w:rPr>
                <w:rFonts w:ascii="ZapfHumnst BT" w:eastAsia="Garamond" w:hAnsi="ZapfHumnst BT" w:cs="Garamond"/>
                <w:sz w:val="18"/>
                <w:szCs w:val="18"/>
              </w:rPr>
              <w:t>3</w:t>
            </w:r>
          </w:p>
        </w:tc>
        <w:tc>
          <w:tcPr>
            <w:tcW w:w="1016" w:type="dxa"/>
          </w:tcPr>
          <w:p w14:paraId="14678C2A" w14:textId="77777777" w:rsidR="00703263" w:rsidRPr="00703263" w:rsidRDefault="00703263" w:rsidP="00B104D1">
            <w:pPr>
              <w:spacing w:before="40" w:after="40" w:line="220" w:lineRule="exact"/>
              <w:jc w:val="center"/>
              <w:rPr>
                <w:rFonts w:ascii="ZapfHumnst BT" w:eastAsia="Garamond" w:hAnsi="ZapfHumnst BT" w:cs="Garamond"/>
                <w:color w:val="000000"/>
                <w:sz w:val="18"/>
                <w:szCs w:val="18"/>
              </w:rPr>
            </w:pPr>
            <w:r w:rsidRPr="00703263">
              <w:rPr>
                <w:rFonts w:ascii="ZapfHumnst BT" w:eastAsia="Garamond" w:hAnsi="ZapfHumnst BT" w:cs="Garamond"/>
                <w:sz w:val="18"/>
                <w:szCs w:val="18"/>
              </w:rPr>
              <w:t>23</w:t>
            </w:r>
          </w:p>
        </w:tc>
        <w:tc>
          <w:tcPr>
            <w:tcW w:w="1733" w:type="dxa"/>
          </w:tcPr>
          <w:p w14:paraId="6378D111" w14:textId="77777777" w:rsidR="00703263" w:rsidRPr="00703263" w:rsidRDefault="00703263" w:rsidP="00B104D1">
            <w:pPr>
              <w:spacing w:before="40" w:after="40" w:line="220" w:lineRule="exact"/>
              <w:jc w:val="center"/>
              <w:rPr>
                <w:rFonts w:ascii="ZapfHumnst BT" w:eastAsia="Garamond" w:hAnsi="ZapfHumnst BT" w:cs="Garamond"/>
                <w:color w:val="000000"/>
                <w:sz w:val="18"/>
                <w:szCs w:val="18"/>
              </w:rPr>
            </w:pPr>
            <w:r w:rsidRPr="00703263">
              <w:rPr>
                <w:rFonts w:ascii="ZapfHumnst BT" w:eastAsia="Garamond" w:hAnsi="ZapfHumnst BT" w:cs="Garamond"/>
                <w:sz w:val="18"/>
                <w:szCs w:val="18"/>
              </w:rPr>
              <w:t>8.211</w:t>
            </w:r>
          </w:p>
        </w:tc>
        <w:tc>
          <w:tcPr>
            <w:tcW w:w="1008" w:type="dxa"/>
          </w:tcPr>
          <w:p w14:paraId="2CF96C28" w14:textId="77777777" w:rsidR="00703263" w:rsidRPr="00703263" w:rsidRDefault="00703263" w:rsidP="00B104D1">
            <w:pPr>
              <w:spacing w:before="40" w:after="40" w:line="220" w:lineRule="exact"/>
              <w:jc w:val="center"/>
              <w:rPr>
                <w:rFonts w:ascii="ZapfHumnst BT" w:eastAsia="Garamond" w:hAnsi="ZapfHumnst BT" w:cs="Garamond"/>
                <w:sz w:val="18"/>
                <w:szCs w:val="18"/>
              </w:rPr>
            </w:pPr>
            <w:r w:rsidRPr="00703263">
              <w:rPr>
                <w:rFonts w:ascii="ZapfHumnst BT" w:eastAsia="Garamond" w:hAnsi="ZapfHumnst BT" w:cs="Garamond"/>
                <w:sz w:val="18"/>
                <w:szCs w:val="18"/>
              </w:rPr>
              <w:t>16,6%</w:t>
            </w:r>
          </w:p>
        </w:tc>
      </w:tr>
      <w:tr w:rsidR="00703263" w:rsidRPr="00703263" w14:paraId="08F49C7C" w14:textId="77777777" w:rsidTr="00703263">
        <w:trPr>
          <w:jc w:val="center"/>
        </w:trPr>
        <w:tc>
          <w:tcPr>
            <w:tcW w:w="1659" w:type="dxa"/>
          </w:tcPr>
          <w:p w14:paraId="4125E544" w14:textId="77777777" w:rsidR="00703263" w:rsidRPr="00703263" w:rsidRDefault="00703263" w:rsidP="00B104D1">
            <w:pPr>
              <w:spacing w:before="40" w:after="40" w:line="220" w:lineRule="exact"/>
              <w:jc w:val="center"/>
              <w:rPr>
                <w:rFonts w:ascii="ZapfHumnst BT" w:eastAsia="Garamond" w:hAnsi="ZapfHumnst BT" w:cs="Garamond"/>
                <w:color w:val="000000"/>
                <w:sz w:val="18"/>
                <w:szCs w:val="18"/>
              </w:rPr>
            </w:pPr>
            <w:r w:rsidRPr="00703263">
              <w:rPr>
                <w:rFonts w:ascii="ZapfHumnst BT" w:eastAsia="Garamond" w:hAnsi="ZapfHumnst BT" w:cs="Garamond"/>
                <w:sz w:val="18"/>
                <w:szCs w:val="18"/>
              </w:rPr>
              <w:t>Imperia</w:t>
            </w:r>
          </w:p>
        </w:tc>
        <w:tc>
          <w:tcPr>
            <w:tcW w:w="869" w:type="dxa"/>
          </w:tcPr>
          <w:p w14:paraId="65D94BBA" w14:textId="77777777" w:rsidR="00703263" w:rsidRPr="00703263" w:rsidRDefault="00703263" w:rsidP="00B104D1">
            <w:pPr>
              <w:spacing w:before="40" w:after="40" w:line="220" w:lineRule="exact"/>
              <w:jc w:val="center"/>
              <w:rPr>
                <w:rFonts w:ascii="ZapfHumnst BT" w:eastAsia="Garamond" w:hAnsi="ZapfHumnst BT" w:cs="Garamond"/>
                <w:color w:val="000000"/>
                <w:sz w:val="18"/>
                <w:szCs w:val="18"/>
              </w:rPr>
            </w:pPr>
            <w:r w:rsidRPr="00703263">
              <w:rPr>
                <w:rFonts w:ascii="ZapfHumnst BT" w:eastAsia="Garamond" w:hAnsi="ZapfHumnst BT" w:cs="Garamond"/>
                <w:sz w:val="18"/>
                <w:szCs w:val="18"/>
              </w:rPr>
              <w:t>103,4%</w:t>
            </w:r>
          </w:p>
        </w:tc>
        <w:tc>
          <w:tcPr>
            <w:tcW w:w="870" w:type="dxa"/>
          </w:tcPr>
          <w:p w14:paraId="5C3AF93B" w14:textId="77777777" w:rsidR="00703263" w:rsidRPr="00703263" w:rsidRDefault="00703263" w:rsidP="00B104D1">
            <w:pPr>
              <w:spacing w:before="40" w:after="40" w:line="220" w:lineRule="exact"/>
              <w:jc w:val="center"/>
              <w:rPr>
                <w:rFonts w:ascii="ZapfHumnst BT" w:eastAsia="Garamond" w:hAnsi="ZapfHumnst BT" w:cs="Garamond"/>
                <w:color w:val="000000"/>
                <w:sz w:val="18"/>
                <w:szCs w:val="18"/>
              </w:rPr>
            </w:pPr>
            <w:r w:rsidRPr="00703263">
              <w:rPr>
                <w:rFonts w:ascii="ZapfHumnst BT" w:eastAsia="Garamond" w:hAnsi="ZapfHumnst BT" w:cs="Garamond"/>
                <w:sz w:val="18"/>
                <w:szCs w:val="18"/>
              </w:rPr>
              <w:t>4</w:t>
            </w:r>
          </w:p>
        </w:tc>
        <w:tc>
          <w:tcPr>
            <w:tcW w:w="1016" w:type="dxa"/>
          </w:tcPr>
          <w:p w14:paraId="5D784464" w14:textId="77777777" w:rsidR="00703263" w:rsidRPr="00703263" w:rsidRDefault="00703263" w:rsidP="00B104D1">
            <w:pPr>
              <w:spacing w:before="40" w:after="40" w:line="220" w:lineRule="exact"/>
              <w:jc w:val="center"/>
              <w:rPr>
                <w:rFonts w:ascii="ZapfHumnst BT" w:eastAsia="Garamond" w:hAnsi="ZapfHumnst BT" w:cs="Garamond"/>
                <w:color w:val="000000"/>
                <w:sz w:val="18"/>
                <w:szCs w:val="18"/>
              </w:rPr>
            </w:pPr>
            <w:r w:rsidRPr="00703263">
              <w:rPr>
                <w:rFonts w:ascii="ZapfHumnst BT" w:eastAsia="Garamond" w:hAnsi="ZapfHumnst BT" w:cs="Garamond"/>
                <w:sz w:val="18"/>
                <w:szCs w:val="18"/>
              </w:rPr>
              <w:t>24</w:t>
            </w:r>
          </w:p>
        </w:tc>
        <w:tc>
          <w:tcPr>
            <w:tcW w:w="1733" w:type="dxa"/>
          </w:tcPr>
          <w:p w14:paraId="69E4A91C" w14:textId="77777777" w:rsidR="00703263" w:rsidRPr="00703263" w:rsidRDefault="00703263" w:rsidP="00B104D1">
            <w:pPr>
              <w:spacing w:before="40" w:after="40" w:line="220" w:lineRule="exact"/>
              <w:jc w:val="center"/>
              <w:rPr>
                <w:rFonts w:ascii="ZapfHumnst BT" w:eastAsia="Garamond" w:hAnsi="ZapfHumnst BT" w:cs="Garamond"/>
                <w:color w:val="000000"/>
                <w:sz w:val="18"/>
                <w:szCs w:val="18"/>
              </w:rPr>
            </w:pPr>
            <w:r w:rsidRPr="00703263">
              <w:rPr>
                <w:rFonts w:ascii="ZapfHumnst BT" w:eastAsia="Garamond" w:hAnsi="ZapfHumnst BT" w:cs="Garamond"/>
                <w:sz w:val="18"/>
                <w:szCs w:val="18"/>
              </w:rPr>
              <w:t>5.287</w:t>
            </w:r>
          </w:p>
        </w:tc>
        <w:tc>
          <w:tcPr>
            <w:tcW w:w="1008" w:type="dxa"/>
          </w:tcPr>
          <w:p w14:paraId="04388FE3" w14:textId="77777777" w:rsidR="00703263" w:rsidRPr="00703263" w:rsidRDefault="00703263" w:rsidP="00B104D1">
            <w:pPr>
              <w:spacing w:before="40" w:after="40" w:line="220" w:lineRule="exact"/>
              <w:jc w:val="center"/>
              <w:rPr>
                <w:rFonts w:ascii="ZapfHumnst BT" w:eastAsia="Garamond" w:hAnsi="ZapfHumnst BT" w:cs="Garamond"/>
                <w:sz w:val="18"/>
                <w:szCs w:val="18"/>
              </w:rPr>
            </w:pPr>
            <w:r w:rsidRPr="00703263">
              <w:rPr>
                <w:rFonts w:ascii="ZapfHumnst BT" w:eastAsia="Garamond" w:hAnsi="ZapfHumnst BT" w:cs="Garamond"/>
                <w:sz w:val="18"/>
                <w:szCs w:val="18"/>
              </w:rPr>
              <w:t>24,4%</w:t>
            </w:r>
          </w:p>
        </w:tc>
      </w:tr>
      <w:tr w:rsidR="00703263" w:rsidRPr="00703263" w14:paraId="11713405" w14:textId="77777777" w:rsidTr="00703263">
        <w:trPr>
          <w:jc w:val="center"/>
        </w:trPr>
        <w:tc>
          <w:tcPr>
            <w:tcW w:w="1659" w:type="dxa"/>
          </w:tcPr>
          <w:p w14:paraId="2B23EA2F" w14:textId="77777777" w:rsidR="00703263" w:rsidRPr="00703263" w:rsidRDefault="00703263" w:rsidP="00B104D1">
            <w:pPr>
              <w:spacing w:before="40" w:after="40" w:line="220" w:lineRule="exact"/>
              <w:jc w:val="center"/>
              <w:rPr>
                <w:rFonts w:ascii="ZapfHumnst BT" w:eastAsia="Garamond" w:hAnsi="ZapfHumnst BT" w:cs="Garamond"/>
                <w:color w:val="000000"/>
                <w:sz w:val="18"/>
                <w:szCs w:val="18"/>
              </w:rPr>
            </w:pPr>
            <w:r w:rsidRPr="00703263">
              <w:rPr>
                <w:rFonts w:ascii="ZapfHumnst BT" w:eastAsia="Garamond" w:hAnsi="ZapfHumnst BT" w:cs="Garamond"/>
                <w:sz w:val="18"/>
                <w:szCs w:val="18"/>
              </w:rPr>
              <w:t>Salerno</w:t>
            </w:r>
          </w:p>
        </w:tc>
        <w:tc>
          <w:tcPr>
            <w:tcW w:w="869" w:type="dxa"/>
          </w:tcPr>
          <w:p w14:paraId="1BDBDC33" w14:textId="77777777" w:rsidR="00703263" w:rsidRPr="00703263" w:rsidRDefault="00703263" w:rsidP="00B104D1">
            <w:pPr>
              <w:spacing w:before="40" w:after="40" w:line="220" w:lineRule="exact"/>
              <w:jc w:val="center"/>
              <w:rPr>
                <w:rFonts w:ascii="ZapfHumnst BT" w:eastAsia="Garamond" w:hAnsi="ZapfHumnst BT" w:cs="Garamond"/>
                <w:color w:val="000000"/>
                <w:sz w:val="18"/>
                <w:szCs w:val="18"/>
              </w:rPr>
            </w:pPr>
            <w:r w:rsidRPr="00703263">
              <w:rPr>
                <w:rFonts w:ascii="ZapfHumnst BT" w:eastAsia="Garamond" w:hAnsi="ZapfHumnst BT" w:cs="Garamond"/>
                <w:sz w:val="18"/>
                <w:szCs w:val="18"/>
              </w:rPr>
              <w:t>102,1%</w:t>
            </w:r>
          </w:p>
        </w:tc>
        <w:tc>
          <w:tcPr>
            <w:tcW w:w="870" w:type="dxa"/>
          </w:tcPr>
          <w:p w14:paraId="5C9B632C" w14:textId="77777777" w:rsidR="00703263" w:rsidRPr="00703263" w:rsidRDefault="00703263" w:rsidP="00B104D1">
            <w:pPr>
              <w:spacing w:before="40" w:after="40" w:line="220" w:lineRule="exact"/>
              <w:jc w:val="center"/>
              <w:rPr>
                <w:rFonts w:ascii="ZapfHumnst BT" w:eastAsia="Garamond" w:hAnsi="ZapfHumnst BT" w:cs="Garamond"/>
                <w:color w:val="000000"/>
                <w:sz w:val="18"/>
                <w:szCs w:val="18"/>
              </w:rPr>
            </w:pPr>
            <w:r w:rsidRPr="00703263">
              <w:rPr>
                <w:rFonts w:ascii="ZapfHumnst BT" w:eastAsia="Garamond" w:hAnsi="ZapfHumnst BT" w:cs="Garamond"/>
                <w:sz w:val="18"/>
                <w:szCs w:val="18"/>
              </w:rPr>
              <w:t>6</w:t>
            </w:r>
          </w:p>
        </w:tc>
        <w:tc>
          <w:tcPr>
            <w:tcW w:w="1016" w:type="dxa"/>
          </w:tcPr>
          <w:p w14:paraId="5038763C" w14:textId="77777777" w:rsidR="00703263" w:rsidRPr="00703263" w:rsidRDefault="00703263" w:rsidP="00B104D1">
            <w:pPr>
              <w:spacing w:before="40" w:after="40" w:line="220" w:lineRule="exact"/>
              <w:jc w:val="center"/>
              <w:rPr>
                <w:rFonts w:ascii="ZapfHumnst BT" w:eastAsia="Garamond" w:hAnsi="ZapfHumnst BT" w:cs="Garamond"/>
                <w:color w:val="000000"/>
                <w:sz w:val="18"/>
                <w:szCs w:val="18"/>
              </w:rPr>
            </w:pPr>
            <w:r w:rsidRPr="00703263">
              <w:rPr>
                <w:rFonts w:ascii="ZapfHumnst BT" w:eastAsia="Garamond" w:hAnsi="ZapfHumnst BT" w:cs="Garamond"/>
                <w:sz w:val="18"/>
                <w:szCs w:val="18"/>
              </w:rPr>
              <w:t>31</w:t>
            </w:r>
          </w:p>
        </w:tc>
        <w:tc>
          <w:tcPr>
            <w:tcW w:w="1733" w:type="dxa"/>
          </w:tcPr>
          <w:p w14:paraId="211CC12D" w14:textId="77777777" w:rsidR="00703263" w:rsidRPr="00703263" w:rsidRDefault="00703263" w:rsidP="00B104D1">
            <w:pPr>
              <w:spacing w:before="40" w:after="40" w:line="220" w:lineRule="exact"/>
              <w:jc w:val="center"/>
              <w:rPr>
                <w:rFonts w:ascii="ZapfHumnst BT" w:eastAsia="Garamond" w:hAnsi="ZapfHumnst BT" w:cs="Garamond"/>
                <w:color w:val="000000"/>
                <w:sz w:val="18"/>
                <w:szCs w:val="18"/>
              </w:rPr>
            </w:pPr>
            <w:r w:rsidRPr="00703263">
              <w:rPr>
                <w:rFonts w:ascii="ZapfHumnst BT" w:eastAsia="Garamond" w:hAnsi="ZapfHumnst BT" w:cs="Garamond"/>
                <w:sz w:val="18"/>
                <w:szCs w:val="18"/>
              </w:rPr>
              <w:t>12.088</w:t>
            </w:r>
          </w:p>
        </w:tc>
        <w:tc>
          <w:tcPr>
            <w:tcW w:w="1008" w:type="dxa"/>
          </w:tcPr>
          <w:p w14:paraId="672BABF8" w14:textId="77777777" w:rsidR="00703263" w:rsidRPr="00703263" w:rsidRDefault="00703263" w:rsidP="00B104D1">
            <w:pPr>
              <w:spacing w:before="40" w:after="40" w:line="220" w:lineRule="exact"/>
              <w:jc w:val="center"/>
              <w:rPr>
                <w:rFonts w:ascii="ZapfHumnst BT" w:eastAsia="Garamond" w:hAnsi="ZapfHumnst BT" w:cs="Garamond"/>
                <w:sz w:val="18"/>
                <w:szCs w:val="18"/>
              </w:rPr>
            </w:pPr>
            <w:r w:rsidRPr="00703263">
              <w:rPr>
                <w:rFonts w:ascii="ZapfHumnst BT" w:eastAsia="Garamond" w:hAnsi="ZapfHumnst BT" w:cs="Garamond"/>
                <w:sz w:val="18"/>
                <w:szCs w:val="18"/>
              </w:rPr>
              <w:t>17%</w:t>
            </w:r>
          </w:p>
        </w:tc>
      </w:tr>
      <w:tr w:rsidR="00703263" w:rsidRPr="00703263" w14:paraId="0F17EB89" w14:textId="77777777" w:rsidTr="00703263">
        <w:trPr>
          <w:jc w:val="center"/>
        </w:trPr>
        <w:tc>
          <w:tcPr>
            <w:tcW w:w="1659" w:type="dxa"/>
          </w:tcPr>
          <w:p w14:paraId="3EE55F03" w14:textId="77777777" w:rsidR="00703263" w:rsidRPr="00703263" w:rsidRDefault="00703263" w:rsidP="00B104D1">
            <w:pPr>
              <w:spacing w:before="40" w:after="40" w:line="220" w:lineRule="exact"/>
              <w:jc w:val="center"/>
              <w:rPr>
                <w:rFonts w:ascii="ZapfHumnst BT" w:eastAsia="Garamond" w:hAnsi="ZapfHumnst BT" w:cs="Garamond"/>
                <w:color w:val="000000"/>
                <w:sz w:val="18"/>
                <w:szCs w:val="18"/>
              </w:rPr>
            </w:pPr>
            <w:r w:rsidRPr="00703263">
              <w:rPr>
                <w:rFonts w:ascii="ZapfHumnst BT" w:eastAsia="Garamond" w:hAnsi="ZapfHumnst BT" w:cs="Garamond"/>
                <w:sz w:val="18"/>
                <w:szCs w:val="18"/>
              </w:rPr>
              <w:t>Torre Annunziata</w:t>
            </w:r>
          </w:p>
        </w:tc>
        <w:tc>
          <w:tcPr>
            <w:tcW w:w="869" w:type="dxa"/>
          </w:tcPr>
          <w:p w14:paraId="007ABC9A" w14:textId="77777777" w:rsidR="00703263" w:rsidRPr="00703263" w:rsidRDefault="00703263" w:rsidP="00B104D1">
            <w:pPr>
              <w:spacing w:before="40" w:after="40" w:line="220" w:lineRule="exact"/>
              <w:jc w:val="center"/>
              <w:rPr>
                <w:rFonts w:ascii="ZapfHumnst BT" w:eastAsia="Garamond" w:hAnsi="ZapfHumnst BT" w:cs="Garamond"/>
                <w:color w:val="000000"/>
                <w:sz w:val="18"/>
                <w:szCs w:val="18"/>
              </w:rPr>
            </w:pPr>
            <w:r w:rsidRPr="00703263">
              <w:rPr>
                <w:rFonts w:ascii="ZapfHumnst BT" w:eastAsia="Garamond" w:hAnsi="ZapfHumnst BT" w:cs="Garamond"/>
                <w:sz w:val="18"/>
                <w:szCs w:val="18"/>
              </w:rPr>
              <w:t>102,1%</w:t>
            </w:r>
          </w:p>
        </w:tc>
        <w:tc>
          <w:tcPr>
            <w:tcW w:w="870" w:type="dxa"/>
          </w:tcPr>
          <w:p w14:paraId="7FA2107F" w14:textId="77777777" w:rsidR="00703263" w:rsidRPr="00703263" w:rsidRDefault="00703263" w:rsidP="00B104D1">
            <w:pPr>
              <w:spacing w:before="40" w:after="40" w:line="220" w:lineRule="exact"/>
              <w:jc w:val="center"/>
              <w:rPr>
                <w:rFonts w:ascii="ZapfHumnst BT" w:eastAsia="Garamond" w:hAnsi="ZapfHumnst BT" w:cs="Garamond"/>
                <w:color w:val="000000"/>
                <w:sz w:val="18"/>
                <w:szCs w:val="18"/>
              </w:rPr>
            </w:pPr>
            <w:r w:rsidRPr="00703263">
              <w:rPr>
                <w:rFonts w:ascii="ZapfHumnst BT" w:eastAsia="Garamond" w:hAnsi="ZapfHumnst BT" w:cs="Garamond"/>
                <w:sz w:val="18"/>
                <w:szCs w:val="18"/>
              </w:rPr>
              <w:t>7</w:t>
            </w:r>
          </w:p>
        </w:tc>
        <w:tc>
          <w:tcPr>
            <w:tcW w:w="1016" w:type="dxa"/>
          </w:tcPr>
          <w:p w14:paraId="075FCCF4" w14:textId="77777777" w:rsidR="00703263" w:rsidRPr="00703263" w:rsidRDefault="00703263" w:rsidP="00B104D1">
            <w:pPr>
              <w:spacing w:before="40" w:after="40" w:line="220" w:lineRule="exact"/>
              <w:jc w:val="center"/>
              <w:rPr>
                <w:rFonts w:ascii="ZapfHumnst BT" w:eastAsia="Garamond" w:hAnsi="ZapfHumnst BT" w:cs="Garamond"/>
                <w:color w:val="000000"/>
                <w:sz w:val="18"/>
                <w:szCs w:val="18"/>
              </w:rPr>
            </w:pPr>
            <w:r w:rsidRPr="00703263">
              <w:rPr>
                <w:rFonts w:ascii="ZapfHumnst BT" w:eastAsia="Garamond" w:hAnsi="ZapfHumnst BT" w:cs="Garamond"/>
                <w:sz w:val="18"/>
                <w:szCs w:val="18"/>
              </w:rPr>
              <w:t>32</w:t>
            </w:r>
          </w:p>
        </w:tc>
        <w:tc>
          <w:tcPr>
            <w:tcW w:w="1733" w:type="dxa"/>
          </w:tcPr>
          <w:p w14:paraId="0146728E" w14:textId="77777777" w:rsidR="00703263" w:rsidRPr="00703263" w:rsidRDefault="00703263" w:rsidP="00B104D1">
            <w:pPr>
              <w:spacing w:before="40" w:after="40" w:line="220" w:lineRule="exact"/>
              <w:jc w:val="center"/>
              <w:rPr>
                <w:rFonts w:ascii="ZapfHumnst BT" w:eastAsia="Garamond" w:hAnsi="ZapfHumnst BT" w:cs="Garamond"/>
                <w:color w:val="000000"/>
                <w:sz w:val="18"/>
                <w:szCs w:val="18"/>
              </w:rPr>
            </w:pPr>
            <w:r w:rsidRPr="00703263">
              <w:rPr>
                <w:rFonts w:ascii="ZapfHumnst BT" w:eastAsia="Garamond" w:hAnsi="ZapfHumnst BT" w:cs="Garamond"/>
                <w:sz w:val="18"/>
                <w:szCs w:val="18"/>
              </w:rPr>
              <w:t>8.122</w:t>
            </w:r>
          </w:p>
        </w:tc>
        <w:tc>
          <w:tcPr>
            <w:tcW w:w="1008" w:type="dxa"/>
          </w:tcPr>
          <w:p w14:paraId="06A550C3" w14:textId="77777777" w:rsidR="00703263" w:rsidRPr="00703263" w:rsidRDefault="00703263" w:rsidP="00B104D1">
            <w:pPr>
              <w:spacing w:before="40" w:after="40" w:line="220" w:lineRule="exact"/>
              <w:jc w:val="center"/>
              <w:rPr>
                <w:rFonts w:ascii="ZapfHumnst BT" w:eastAsia="Garamond" w:hAnsi="ZapfHumnst BT" w:cs="Garamond"/>
                <w:sz w:val="18"/>
                <w:szCs w:val="18"/>
              </w:rPr>
            </w:pPr>
            <w:r w:rsidRPr="00703263">
              <w:rPr>
                <w:rFonts w:ascii="ZapfHumnst BT" w:eastAsia="Garamond" w:hAnsi="ZapfHumnst BT" w:cs="Garamond"/>
                <w:sz w:val="18"/>
                <w:szCs w:val="18"/>
              </w:rPr>
              <w:t>23,4%</w:t>
            </w:r>
          </w:p>
        </w:tc>
      </w:tr>
    </w:tbl>
    <w:p w14:paraId="6872F8B8" w14:textId="77777777" w:rsidR="00703263" w:rsidRPr="00703263" w:rsidRDefault="00703263" w:rsidP="00703263">
      <w:pPr>
        <w:pStyle w:val="Fonte"/>
      </w:pPr>
      <w:r w:rsidRPr="00703263">
        <w:rPr>
          <w:rFonts w:ascii="ZapfHumnst BT" w:hAnsi="ZapfHumnst BT"/>
          <w:b/>
          <w:bCs/>
        </w:rPr>
        <w:t>Fonte</w:t>
      </w:r>
      <w:r w:rsidRPr="00703263">
        <w:t>: elaborazione personale.</w:t>
      </w:r>
    </w:p>
    <w:p w14:paraId="165AF754" w14:textId="51FA0142" w:rsidR="006E7557" w:rsidRPr="00584160" w:rsidRDefault="006E7557" w:rsidP="006E7557">
      <w:pPr>
        <w:pStyle w:val="Capoverso"/>
      </w:pPr>
      <w:r w:rsidRPr="00584160">
        <w:t xml:space="preserve">Nella prospettiva di un generale riequilibrio dei ruoli processuali, verso una più effettiva «responsabilizzazione di tutti i soggetti al raggiungimento del comune obiettivo di un accertamento contenuto in tempi ragionevoli», si è inteso valorizzare quella concezione primigenia di premialità «ancorata al </w:t>
      </w:r>
      <w:r w:rsidRPr="00E854CA">
        <w:rPr>
          <w:i/>
          <w:iCs/>
        </w:rPr>
        <w:t xml:space="preserve">self </w:t>
      </w:r>
      <w:proofErr w:type="spellStart"/>
      <w:r w:rsidRPr="00E854CA">
        <w:rPr>
          <w:i/>
          <w:iCs/>
        </w:rPr>
        <w:t>restraint</w:t>
      </w:r>
      <w:proofErr w:type="spellEnd"/>
      <w:r w:rsidRPr="00584160">
        <w:t xml:space="preserve"> dell</w:t>
      </w:r>
      <w:r w:rsidR="00E854CA">
        <w:t>’</w:t>
      </w:r>
      <w:r w:rsidRPr="00584160">
        <w:t xml:space="preserve">imputato nel ricorso alle garanzie proprie del dibattimento, cui consegue un significativo vantaggio in termini di tempo e di energie impiegate nella definizione del procedimento». </w:t>
      </w:r>
    </w:p>
    <w:p w14:paraId="4330646B" w14:textId="05EB9C26" w:rsidR="006E7557" w:rsidRPr="00DC018E" w:rsidRDefault="00860A49" w:rsidP="00296B41">
      <w:pPr>
        <w:pStyle w:val="Titolo4"/>
      </w:pPr>
      <w:r>
        <w:t xml:space="preserve">3. </w:t>
      </w:r>
      <w:r w:rsidR="00296B41">
        <w:rPr>
          <w:rFonts w:eastAsia="SimSun"/>
          <w:lang w:eastAsia="hi-IN" w:bidi="hi-IN"/>
        </w:rPr>
        <w:t>Metodologia</w:t>
      </w:r>
      <w:r w:rsidR="00296B41">
        <w:rPr>
          <w:rFonts w:eastAsia="SimSun"/>
          <w:lang w:eastAsia="hi-IN" w:bidi="hi-IN"/>
        </w:rPr>
        <w:t>/caso di studio</w:t>
      </w:r>
    </w:p>
    <w:p w14:paraId="560A4A05" w14:textId="083BA6B6" w:rsidR="006E7557" w:rsidRPr="00584160" w:rsidRDefault="006E7557" w:rsidP="006E7557">
      <w:pPr>
        <w:pStyle w:val="Capoverso"/>
      </w:pPr>
      <w:r w:rsidRPr="00584160">
        <w:t xml:space="preserve">Come precisato dalla giurisprudenza, in capo al pubblico ministero incombe un onere di allegazione degli elementi da cui trarre il relativo giudizio; elementi che potrebbero ben trarsi da circostanze obiettivamene apprezzabili emerse dal fascicolo processuale. </w:t>
      </w:r>
    </w:p>
    <w:p w14:paraId="51BBFF9B" w14:textId="50E4629A" w:rsidR="006E7557" w:rsidRPr="00584160" w:rsidRDefault="006E7557" w:rsidP="006E7557">
      <w:pPr>
        <w:pStyle w:val="Capoverso"/>
      </w:pPr>
      <w:r w:rsidRPr="00584160">
        <w:t>Questa la ragione per la quale si potrebbe prospettare in capo al giudice per le indagini preliminari l</w:t>
      </w:r>
      <w:r w:rsidR="00E854CA">
        <w:t>’</w:t>
      </w:r>
      <w:r w:rsidRPr="00584160">
        <w:t>estensione, in via analogica, del potere di ordinare all</w:t>
      </w:r>
      <w:r w:rsidR="00E854CA">
        <w:t>’</w:t>
      </w:r>
      <w:r w:rsidRPr="00584160">
        <w:t>organo dell</w:t>
      </w:r>
      <w:r w:rsidR="00E854CA">
        <w:t>’</w:t>
      </w:r>
      <w:r w:rsidRPr="00584160">
        <w:t>accusa, il compimento delle ulteriori attività di indagine necessarie per stabilire le condizioni economiche dell</w:t>
      </w:r>
      <w:r w:rsidR="00E854CA">
        <w:t>’</w:t>
      </w:r>
      <w:r w:rsidRPr="00584160">
        <w:t xml:space="preserve">indagato. </w:t>
      </w:r>
    </w:p>
    <w:p w14:paraId="3449C1DD" w14:textId="317E210F" w:rsidR="006E7557" w:rsidRDefault="006E7557" w:rsidP="006E7557">
      <w:pPr>
        <w:pStyle w:val="Capoverso"/>
      </w:pPr>
      <w:r w:rsidRPr="00584160">
        <w:t>Ma una tale restituzione degli atti non troverebbe supporto nel dato normativo, che al contrario prevede, in caso di non accoglimento della richiesta, un</w:t>
      </w:r>
      <w:r w:rsidR="00E854CA">
        <w:t>’</w:t>
      </w:r>
      <w:r w:rsidRPr="00584160">
        <w:t>unica al</w:t>
      </w:r>
      <w:r w:rsidRPr="00584160">
        <w:rPr>
          <w:spacing w:val="-1"/>
        </w:rPr>
        <w:t>ternativa rappresentata dalla restituzione degli atti ai sensi dell</w:t>
      </w:r>
      <w:r w:rsidR="00E854CA">
        <w:rPr>
          <w:spacing w:val="-1"/>
        </w:rPr>
        <w:t>’</w:t>
      </w:r>
      <w:r w:rsidRPr="00584160">
        <w:rPr>
          <w:spacing w:val="-1"/>
        </w:rPr>
        <w:t>art. 459 c.p.p.,</w:t>
      </w:r>
      <w:r w:rsidRPr="00584160">
        <w:t xml:space="preserve"> comma 3, c.p.p. (se non deve essere pronunciata sentenza </w:t>
      </w:r>
      <w:r w:rsidRPr="00E854CA">
        <w:rPr>
          <w:i/>
          <w:iCs/>
        </w:rPr>
        <w:t>ex</w:t>
      </w:r>
      <w:r w:rsidRPr="00584160">
        <w:t xml:space="preserve"> art. 129 c.p.p.). Peraltro, prevedere un potere di ordinare indagini suppletive, si porrebbe in evidente frizione con la snellezza procedurale tipica del rito. </w:t>
      </w:r>
    </w:p>
    <w:p w14:paraId="6A8DFE28" w14:textId="77777777" w:rsidR="00860A49" w:rsidRDefault="00860A49" w:rsidP="006E7557">
      <w:pPr>
        <w:pStyle w:val="Capoverso"/>
      </w:pPr>
    </w:p>
    <w:p w14:paraId="062E91AC" w14:textId="3510A770" w:rsidR="00860A49" w:rsidRPr="00DC018E" w:rsidRDefault="00860A49" w:rsidP="00860A49">
      <w:pPr>
        <w:pStyle w:val="Titolo5"/>
      </w:pPr>
      <w:r>
        <w:lastRenderedPageBreak/>
        <w:t xml:space="preserve">4. </w:t>
      </w:r>
      <w:r w:rsidR="00296B41">
        <w:t>Analisi dei dati e discussione dei risultati</w:t>
      </w:r>
    </w:p>
    <w:p w14:paraId="0C9F0BFD" w14:textId="58A37D4E" w:rsidR="006E7557" w:rsidRPr="00584160" w:rsidRDefault="006E7557" w:rsidP="006E7557">
      <w:pPr>
        <w:pStyle w:val="Capoverso"/>
      </w:pPr>
      <w:r w:rsidRPr="00584160">
        <w:t>A rigore, se il dato normativo impone di prendere in considerazione quegli indicatori, in assenza di informazioni efficacemente dirimenti, l</w:t>
      </w:r>
      <w:r w:rsidR="00E854CA">
        <w:t>’</w:t>
      </w:r>
      <w:r w:rsidRPr="00584160">
        <w:t xml:space="preserve">organo giudicante dovrebbe restituire gli atti al pubblico ministero, rigettando la richiesta. </w:t>
      </w:r>
    </w:p>
    <w:p w14:paraId="4C9B8E13" w14:textId="4396075B" w:rsidR="006E7557" w:rsidRPr="00584160" w:rsidRDefault="006E7557" w:rsidP="006E7557">
      <w:pPr>
        <w:pStyle w:val="Capoverso"/>
      </w:pPr>
      <w:r w:rsidRPr="00584160">
        <w:t>Ne conseguirebbe, tuttavia, che il dato normativo riformato, al fine di meglio definire i connotati attraverso i quali operare il ragguaglio, rischia di ridurre l</w:t>
      </w:r>
      <w:r w:rsidR="00E854CA">
        <w:t>’</w:t>
      </w:r>
      <w:r w:rsidRPr="00584160">
        <w:t>operatività del procedimento monitorio, per via dell</w:t>
      </w:r>
      <w:r w:rsidR="00E854CA">
        <w:t>’</w:t>
      </w:r>
      <w:r w:rsidRPr="00584160">
        <w:t>aumentare dei rigetti delle richieste causati dalla difficoltà di operare una individualizzata valutazione di congruità della misura della pena. La riforma, cioè, nell</w:t>
      </w:r>
      <w:r w:rsidR="00E854CA">
        <w:t>’</w:t>
      </w:r>
      <w:r w:rsidRPr="00584160">
        <w:t>ottica di incentivare il ricorso al rito, finirebbe per limitarne il relativo utilizzo</w:t>
      </w:r>
      <w:r w:rsidRPr="00584160">
        <w:rPr>
          <w:rStyle w:val="Rimandonotaapidipagina"/>
          <w:sz w:val="24"/>
        </w:rPr>
        <w:t> </w:t>
      </w:r>
      <w:r w:rsidRPr="00584160">
        <w:t xml:space="preserve">. </w:t>
      </w:r>
    </w:p>
    <w:p w14:paraId="66BFE9F4" w14:textId="77777777" w:rsidR="00860A49" w:rsidRDefault="006E7557" w:rsidP="006E7557">
      <w:pPr>
        <w:pStyle w:val="Capoverso"/>
      </w:pPr>
      <w:r w:rsidRPr="00584160">
        <w:t>Si potrebbe, allora,</w:t>
      </w:r>
      <w:r w:rsidRPr="00E854CA">
        <w:rPr>
          <w:i/>
          <w:iCs/>
        </w:rPr>
        <w:t xml:space="preserve"> </w:t>
      </w:r>
      <w:r w:rsidRPr="00584160">
        <w:t xml:space="preserve">fare affidamento </w:t>
      </w:r>
      <w:r>
        <w:t>nell</w:t>
      </w:r>
      <w:r w:rsidR="00E854CA">
        <w:t>’</w:t>
      </w:r>
      <w:r>
        <w:t xml:space="preserve">orientamento su menzionato </w:t>
      </w:r>
      <w:r w:rsidRPr="00584160">
        <w:t>(come, del resto, sollecitava il pubblico ministero nel ricorso che ha dato origine alla sentenza in commento), e quindi ritenere che, tutte le volte in cui risulti arduo dosare congruamente la pena per via di un</w:t>
      </w:r>
      <w:r w:rsidR="00E854CA">
        <w:t>’</w:t>
      </w:r>
      <w:r w:rsidRPr="00584160">
        <w:t>indagine poco approfondita, il giudice possa ugualmente emettere il decreto penale di condanna se quest</w:t>
      </w:r>
      <w:r w:rsidR="00E854CA">
        <w:t>’</w:t>
      </w:r>
      <w:r w:rsidRPr="00584160">
        <w:t>ultimo si assesti su valori soglia minimi.</w:t>
      </w:r>
    </w:p>
    <w:p w14:paraId="06A64C57" w14:textId="1C7FF393" w:rsidR="006E7557" w:rsidRPr="00584160" w:rsidRDefault="00860A49" w:rsidP="00860A49">
      <w:pPr>
        <w:pStyle w:val="Titolo5"/>
      </w:pPr>
      <w:r>
        <w:t xml:space="preserve">5. Conclusioni </w:t>
      </w:r>
      <w:r w:rsidR="006E7557" w:rsidRPr="00584160">
        <w:t xml:space="preserve"> </w:t>
      </w:r>
    </w:p>
    <w:p w14:paraId="34CB6C7D" w14:textId="6DA50E57" w:rsidR="006E7557" w:rsidRDefault="006E7557" w:rsidP="006E7557">
      <w:pPr>
        <w:pStyle w:val="Capoverso"/>
        <w:rPr>
          <w:spacing w:val="-2"/>
        </w:rPr>
      </w:pPr>
      <w:r w:rsidRPr="00584160">
        <w:t xml:space="preserve">Tuttavia, la graduazione della sanzione pecuniaria rispetto alle complessive </w:t>
      </w:r>
      <w:r w:rsidRPr="00584160">
        <w:rPr>
          <w:spacing w:val="-2"/>
        </w:rPr>
        <w:t>condizioni economiche dell</w:t>
      </w:r>
      <w:r w:rsidR="00E854CA">
        <w:rPr>
          <w:spacing w:val="-2"/>
        </w:rPr>
        <w:t>’</w:t>
      </w:r>
      <w:r w:rsidRPr="00584160">
        <w:rPr>
          <w:spacing w:val="-2"/>
        </w:rPr>
        <w:t>imputato e del suo nucleo familiare, realizza precipuamente il fine di evitare un</w:t>
      </w:r>
      <w:r w:rsidR="00E854CA">
        <w:rPr>
          <w:spacing w:val="-2"/>
        </w:rPr>
        <w:t>’</w:t>
      </w:r>
      <w:r w:rsidRPr="00584160">
        <w:rPr>
          <w:spacing w:val="-2"/>
        </w:rPr>
        <w:t>impropria parificazione di situazioni e condizioni tra loro diverse: costituisce il naturale riflesso del principio costituzionale di eguaglianza, dal momento che l</w:t>
      </w:r>
      <w:r w:rsidR="00E854CA">
        <w:rPr>
          <w:spacing w:val="-2"/>
        </w:rPr>
        <w:t>’</w:t>
      </w:r>
      <w:r w:rsidRPr="00584160">
        <w:rPr>
          <w:spacing w:val="-2"/>
        </w:rPr>
        <w:t>impatto “esistenziale” di sanzioni pecuniarie di identico importo può essere in concreto assai diverso, secondo le differenti condizioni dell</w:t>
      </w:r>
      <w:r w:rsidR="00E854CA">
        <w:rPr>
          <w:spacing w:val="-2"/>
        </w:rPr>
        <w:t>’</w:t>
      </w:r>
      <w:r w:rsidRPr="00584160">
        <w:rPr>
          <w:spacing w:val="-2"/>
        </w:rPr>
        <w:t>autore; di talché proprio tali differenti condizioni economiche giustificano la commisurazione di sanzioni di diversa entità, pur a fronte di illeciti di pari gravità</w:t>
      </w:r>
      <w:r w:rsidRPr="00584160">
        <w:rPr>
          <w:rStyle w:val="Rimandonotaapidipagina"/>
          <w:spacing w:val="-2"/>
          <w:sz w:val="24"/>
        </w:rPr>
        <w:t> </w:t>
      </w:r>
      <w:r w:rsidRPr="00584160">
        <w:rPr>
          <w:spacing w:val="-2"/>
        </w:rPr>
        <w:t xml:space="preserve">. </w:t>
      </w:r>
    </w:p>
    <w:p w14:paraId="6ED3D4BD" w14:textId="4A2A5E6F" w:rsidR="000C73C9" w:rsidRPr="00860A49" w:rsidRDefault="000C73C9" w:rsidP="000C73C9">
      <w:pPr>
        <w:pStyle w:val="Titolo4"/>
        <w:rPr>
          <w:sz w:val="20"/>
          <w:szCs w:val="20"/>
        </w:rPr>
      </w:pPr>
      <w:r>
        <w:t>Riferimenti bibliografici</w:t>
      </w:r>
      <w:r w:rsidR="00860A49">
        <w:t xml:space="preserve"> </w:t>
      </w:r>
      <w:r w:rsidR="00860A49" w:rsidRPr="00860A49">
        <w:rPr>
          <w:sz w:val="20"/>
          <w:szCs w:val="20"/>
        </w:rPr>
        <w:t>(nel testo inserire cognome primo autore ed anno)</w:t>
      </w:r>
    </w:p>
    <w:p w14:paraId="569E78BB" w14:textId="5CDCD05A" w:rsidR="000C73C9" w:rsidRDefault="000C73C9" w:rsidP="000C73C9">
      <w:pPr>
        <w:pStyle w:val="Bibliografia"/>
      </w:pPr>
      <w:r w:rsidRPr="000C73C9">
        <w:t xml:space="preserve">Cordero F., </w:t>
      </w:r>
      <w:r w:rsidRPr="000C73C9">
        <w:rPr>
          <w:i/>
          <w:iCs/>
        </w:rPr>
        <w:t>Procedura penale</w:t>
      </w:r>
      <w:r w:rsidRPr="000C73C9">
        <w:t xml:space="preserve">, </w:t>
      </w:r>
      <w:r>
        <w:t xml:space="preserve">Giuffrè, </w:t>
      </w:r>
      <w:r w:rsidRPr="000C73C9">
        <w:t>Milano, 8ª ed., 2006, p</w:t>
      </w:r>
      <w:r w:rsidR="00860A49">
        <w:t>ag</w:t>
      </w:r>
      <w:r w:rsidRPr="000C73C9">
        <w:t>. 82</w:t>
      </w:r>
      <w:r>
        <w:t>.</w:t>
      </w:r>
    </w:p>
    <w:p w14:paraId="333CABB0" w14:textId="5F639129" w:rsidR="00860A49" w:rsidRPr="00860A49" w:rsidRDefault="00860A49" w:rsidP="00860A49">
      <w:pPr>
        <w:pStyle w:val="Bibliografia"/>
      </w:pPr>
      <w:r>
        <w:t>Cognome autore Nome puntato</w:t>
      </w:r>
      <w:r w:rsidRPr="00860A49">
        <w:t>, </w:t>
      </w:r>
      <w:r w:rsidRPr="00860A49">
        <w:rPr>
          <w:i/>
          <w:iCs/>
        </w:rPr>
        <w:t>Titolo dell’articolo</w:t>
      </w:r>
      <w:r w:rsidRPr="00860A49">
        <w:t>, in </w:t>
      </w:r>
      <w:r>
        <w:t>“</w:t>
      </w:r>
      <w:r w:rsidRPr="00860A49">
        <w:rPr>
          <w:i/>
          <w:iCs/>
        </w:rPr>
        <w:t>Rivista</w:t>
      </w:r>
      <w:r>
        <w:rPr>
          <w:i/>
          <w:iCs/>
        </w:rPr>
        <w:t>”</w:t>
      </w:r>
      <w:r w:rsidRPr="00860A49">
        <w:t xml:space="preserve">, 3/2021, </w:t>
      </w:r>
      <w:r>
        <w:t xml:space="preserve">pp. </w:t>
      </w:r>
      <w:r w:rsidRPr="00860A49">
        <w:t>1107</w:t>
      </w:r>
      <w:r>
        <w:t>-1109.</w:t>
      </w:r>
    </w:p>
    <w:p w14:paraId="11B77A9F" w14:textId="7AFB8C39" w:rsidR="000C73C9" w:rsidRPr="000C73C9" w:rsidRDefault="000C73C9" w:rsidP="00860A49">
      <w:pPr>
        <w:pStyle w:val="Bibliografia"/>
        <w:spacing w:line="240" w:lineRule="auto"/>
      </w:pPr>
      <w:r w:rsidRPr="000C73C9">
        <w:t xml:space="preserve">Grevi V., </w:t>
      </w:r>
      <w:r w:rsidRPr="000C73C9">
        <w:rPr>
          <w:i/>
          <w:iCs/>
        </w:rPr>
        <w:t>Alla ricerca di un processo giusto</w:t>
      </w:r>
      <w:r w:rsidRPr="000C73C9">
        <w:t xml:space="preserve">, </w:t>
      </w:r>
      <w:r>
        <w:t xml:space="preserve">Giuffrè, </w:t>
      </w:r>
      <w:r w:rsidRPr="000C73C9">
        <w:t>Milano, 2000, p</w:t>
      </w:r>
      <w:r w:rsidR="00860A49">
        <w:t>ag</w:t>
      </w:r>
      <w:r w:rsidRPr="000C73C9">
        <w:t>. 271</w:t>
      </w:r>
      <w:r>
        <w:t>.</w:t>
      </w:r>
    </w:p>
    <w:p w14:paraId="3ED54E3C" w14:textId="5279039C" w:rsidR="000C73C9" w:rsidRDefault="000C73C9" w:rsidP="000C73C9">
      <w:pPr>
        <w:pStyle w:val="Bibliografia"/>
      </w:pPr>
      <w:r w:rsidRPr="000C73C9">
        <w:t xml:space="preserve">Orlandi R., </w:t>
      </w:r>
      <w:r w:rsidRPr="000C73C9">
        <w:rPr>
          <w:i/>
          <w:iCs/>
        </w:rPr>
        <w:t>Procedimenti speciali</w:t>
      </w:r>
      <w:r w:rsidRPr="000C73C9">
        <w:t xml:space="preserve">, in </w:t>
      </w:r>
      <w:r w:rsidRPr="000C73C9">
        <w:rPr>
          <w:i/>
          <w:iCs/>
        </w:rPr>
        <w:t>Compendio di procedura penale</w:t>
      </w:r>
      <w:r w:rsidRPr="000C73C9">
        <w:t xml:space="preserve">, a cura di G. Conso-V. Grevi-M. </w:t>
      </w:r>
      <w:proofErr w:type="spellStart"/>
      <w:r w:rsidRPr="000C73C9">
        <w:t>Bargis</w:t>
      </w:r>
      <w:proofErr w:type="spellEnd"/>
      <w:r w:rsidRPr="000C73C9">
        <w:t>, 10</w:t>
      </w:r>
      <w:r w:rsidRPr="000C73C9">
        <w:rPr>
          <w:vertAlign w:val="superscript"/>
        </w:rPr>
        <w:t>a</w:t>
      </w:r>
      <w:r w:rsidRPr="000C73C9">
        <w:t xml:space="preserve"> ed., </w:t>
      </w:r>
      <w:r>
        <w:t xml:space="preserve">Cedam, </w:t>
      </w:r>
      <w:r w:rsidRPr="000C73C9">
        <w:t>Padova, 2008, p. 677</w:t>
      </w:r>
      <w:r>
        <w:t>.</w:t>
      </w:r>
    </w:p>
    <w:p w14:paraId="1CF85962" w14:textId="1F3F657D" w:rsidR="00930656" w:rsidRDefault="00930656" w:rsidP="00930656">
      <w:pPr>
        <w:pStyle w:val="Bibliografia"/>
      </w:pPr>
      <w:r w:rsidRPr="00930656">
        <w:t xml:space="preserve">Legge 15 luglio 2009, n. 94 (c.d. </w:t>
      </w:r>
      <w:r w:rsidRPr="00930656">
        <w:rPr>
          <w:i/>
          <w:iCs/>
        </w:rPr>
        <w:t>Pacchetto sicurezza</w:t>
      </w:r>
      <w:r w:rsidRPr="00930656">
        <w:t>) la quale aveva innalzato la somma per giorno di detenzione dagli iniziali euro 38 ai successivi 250</w:t>
      </w:r>
      <w:r w:rsidR="00860A49">
        <w:t>.</w:t>
      </w:r>
    </w:p>
    <w:p w14:paraId="533382E4" w14:textId="39BDE04F" w:rsidR="00860A49" w:rsidRPr="00860A49" w:rsidRDefault="00AB3396" w:rsidP="00860A49">
      <w:pPr>
        <w:pStyle w:val="Bibliografia"/>
      </w:pPr>
      <w:hyperlink r:id="rId11" w:tgtFrame="angQ_Yiv3DsJbbS_jqWM_ts" w:history="1">
        <w:r w:rsidR="00860A49" w:rsidRPr="00860A49">
          <w:rPr>
            <w:i/>
            <w:iCs/>
          </w:rPr>
          <w:t>www.giustiziapenale.it</w:t>
        </w:r>
      </w:hyperlink>
      <w:r w:rsidR="00860A49" w:rsidRPr="00860A49">
        <w:rPr>
          <w:i/>
          <w:iCs/>
        </w:rPr>
        <w:t xml:space="preserve">, </w:t>
      </w:r>
      <w:r w:rsidR="00860A49" w:rsidRPr="00860A49">
        <w:t>ultimo accesso 17 agosto 2025. (lasciando il collegamento internet attivo)</w:t>
      </w:r>
    </w:p>
    <w:bookmarkEnd w:id="1"/>
    <w:p w14:paraId="22BB9C7B" w14:textId="77777777" w:rsidR="000C73C9" w:rsidRPr="000C73C9" w:rsidRDefault="000C73C9">
      <w:pPr>
        <w:pStyle w:val="Bibliografia"/>
      </w:pPr>
    </w:p>
    <w:sectPr w:rsidR="000C73C9" w:rsidRPr="000C73C9" w:rsidSect="00E854CA">
      <w:footnotePr>
        <w:numRestart w:val="eachSect"/>
      </w:footnotePr>
      <w:type w:val="oddPage"/>
      <w:pgSz w:w="9639" w:h="13608" w:code="152"/>
      <w:pgMar w:top="1588" w:right="1191" w:bottom="1134" w:left="1191" w:header="1021"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3C3B08" w14:textId="77777777" w:rsidR="00AB3396" w:rsidRDefault="00AB3396" w:rsidP="00F72EBF">
      <w:pPr>
        <w:spacing w:after="0" w:line="240" w:lineRule="auto"/>
      </w:pPr>
      <w:r>
        <w:separator/>
      </w:r>
    </w:p>
  </w:endnote>
  <w:endnote w:type="continuationSeparator" w:id="0">
    <w:p w14:paraId="39EAEB44" w14:textId="77777777" w:rsidR="00AB3396" w:rsidRDefault="00AB3396" w:rsidP="00F72E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Lustria">
    <w:altName w:val="Calibri"/>
    <w:charset w:val="00"/>
    <w:family w:val="auto"/>
    <w:pitch w:val="default"/>
  </w:font>
  <w:font w:name="Simoncini Garamond Std">
    <w:altName w:val="Cambria"/>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Karla">
    <w:charset w:val="00"/>
    <w:family w:val="auto"/>
    <w:pitch w:val="variable"/>
    <w:sig w:usb0="A00000EF" w:usb1="4000205B" w:usb2="00000000" w:usb3="00000000" w:csb0="00000093" w:csb1="00000000"/>
  </w:font>
  <w:font w:name="DengXian Light">
    <w:charset w:val="86"/>
    <w:family w:val="auto"/>
    <w:pitch w:val="variable"/>
    <w:sig w:usb0="A00002BF" w:usb1="38CF7CFA" w:usb2="00000016" w:usb3="00000000" w:csb0="0004000F" w:csb1="00000000"/>
  </w:font>
  <w:font w:name="ZapfHumnst BT">
    <w:altName w:val="Calibri"/>
    <w:charset w:val="00"/>
    <w:family w:val="swiss"/>
    <w:pitch w:val="variable"/>
    <w:sig w:usb0="00000087" w:usb1="00000000" w:usb2="00000000" w:usb3="00000000" w:csb0="0000001B" w:csb1="00000000"/>
  </w:font>
  <w:font w:name="Optima LT Std">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tbl>
      <w:tblPr>
        <w:tblW w:w="0" w:type="auto"/>
        <w:tblInd w:w="8" w:type="dxa"/>
        <w:tblBorders>
          <w:bottom w:val="single" w:sz="4" w:space="0" w:color="auto"/>
        </w:tblBorders>
        <w:tblLayout w:type="fixed"/>
        <w:tblCellMar>
          <w:left w:w="0" w:type="dxa"/>
          <w:right w:w="0" w:type="dxa"/>
        </w:tblCellMar>
        <w:tblLook w:val="0000" w:firstRow="0" w:lastRow="0" w:firstColumn="0" w:lastColumn="0" w:noHBand="0" w:noVBand="0"/>
      </w:tblPr>
      <w:tblGrid>
        <w:gridCol w:w="1134"/>
      </w:tblGrid>
      <w:tr w:rsidR="00AB3396" w:rsidRPr="00C76AFD" w14:paraId="792366C9" w14:textId="77777777" w:rsidTr="001901EA">
        <w:tc>
          <w:tcPr>
            <w:tcW w:w="1134" w:type="dxa"/>
            <w:tcBorders>
              <w:bottom w:val="single" w:sz="4" w:space="0" w:color="auto"/>
            </w:tcBorders>
          </w:tcPr>
          <w:p w14:paraId="3BC113DA" w14:textId="77777777" w:rsidR="00AB3396" w:rsidRPr="00C76AFD" w:rsidRDefault="00AB3396" w:rsidP="00C76AFD">
            <w:pPr>
              <w:spacing w:after="0" w:line="160" w:lineRule="exact"/>
              <w:rPr>
                <w:rFonts w:ascii="Times New Roman" w:hAnsi="Times New Roman" w:cs="Times New Roman"/>
                <w:sz w:val="16"/>
              </w:rPr>
            </w:pPr>
          </w:p>
        </w:tc>
      </w:tr>
    </w:tbl>
    <w:p w14:paraId="5E2B2FFE" w14:textId="77777777" w:rsidR="00AB3396" w:rsidRPr="00C76AFD" w:rsidRDefault="00AB3396" w:rsidP="00C76AFD">
      <w:pPr>
        <w:spacing w:after="0" w:line="100" w:lineRule="exact"/>
        <w:rPr>
          <w:rFonts w:ascii="Times New Roman" w:hAnsi="Times New Roman" w:cs="Times New Roman"/>
          <w:sz w:val="10"/>
        </w:rPr>
      </w:pPr>
    </w:p>
  </w:footnote>
  <w:footnote w:type="continuationSeparator" w:id="0">
    <w:tbl>
      <w:tblPr>
        <w:tblW w:w="0" w:type="auto"/>
        <w:tblInd w:w="8" w:type="dxa"/>
        <w:tblBorders>
          <w:bottom w:val="single" w:sz="4" w:space="0" w:color="auto"/>
        </w:tblBorders>
        <w:tblLayout w:type="fixed"/>
        <w:tblCellMar>
          <w:left w:w="0" w:type="dxa"/>
          <w:right w:w="0" w:type="dxa"/>
        </w:tblCellMar>
        <w:tblLook w:val="0000" w:firstRow="0" w:lastRow="0" w:firstColumn="0" w:lastColumn="0" w:noHBand="0" w:noVBand="0"/>
      </w:tblPr>
      <w:tblGrid>
        <w:gridCol w:w="1134"/>
      </w:tblGrid>
      <w:tr w:rsidR="00AB3396" w:rsidRPr="00C76AFD" w14:paraId="545C3D37" w14:textId="77777777" w:rsidTr="001901EA">
        <w:tc>
          <w:tcPr>
            <w:tcW w:w="1134" w:type="dxa"/>
            <w:tcBorders>
              <w:bottom w:val="single" w:sz="4" w:space="0" w:color="auto"/>
            </w:tcBorders>
          </w:tcPr>
          <w:p w14:paraId="70D27194" w14:textId="77777777" w:rsidR="00AB3396" w:rsidRPr="00C76AFD" w:rsidRDefault="00AB3396" w:rsidP="00C76AFD">
            <w:pPr>
              <w:spacing w:after="0" w:line="160" w:lineRule="exact"/>
              <w:rPr>
                <w:rFonts w:ascii="Times New Roman" w:hAnsi="Times New Roman" w:cs="Times New Roman"/>
                <w:sz w:val="16"/>
              </w:rPr>
            </w:pPr>
          </w:p>
        </w:tc>
      </w:tr>
    </w:tbl>
    <w:p w14:paraId="71A549F5" w14:textId="77777777" w:rsidR="00AB3396" w:rsidRPr="00C76AFD" w:rsidRDefault="00AB3396" w:rsidP="00C76AFD">
      <w:pPr>
        <w:spacing w:after="0" w:line="100" w:lineRule="exact"/>
        <w:rPr>
          <w:rFonts w:ascii="Times New Roman" w:hAnsi="Times New Roman" w:cs="Times New Roman"/>
          <w:sz w:val="10"/>
        </w:rPr>
      </w:pPr>
    </w:p>
  </w:footnote>
  <w:footnote w:type="continuationNotice" w:id="1">
    <w:p w14:paraId="15ABF26C" w14:textId="77777777" w:rsidR="00AB3396" w:rsidRPr="00C76AFD" w:rsidRDefault="00AB3396">
      <w:pPr>
        <w:spacing w:after="0" w:line="240" w:lineRule="auto"/>
        <w:rPr>
          <w:rFonts w:ascii="Times New Roman" w:hAnsi="Times New Roman" w:cs="Times New Roman"/>
          <w:sz w:val="2"/>
          <w:szCs w:val="2"/>
        </w:rPr>
      </w:pPr>
    </w:p>
  </w:footnote>
  <w:footnote w:id="2">
    <w:p w14:paraId="4E3E84AA" w14:textId="76A90AAE" w:rsidR="00930656" w:rsidRDefault="00930656" w:rsidP="00930656">
      <w:pPr>
        <w:pStyle w:val="Testonotaapidipagina"/>
      </w:pPr>
      <w:r>
        <w:rPr>
          <w:rStyle w:val="Rimandonotaapidipagina"/>
        </w:rPr>
        <w:t>*</w:t>
      </w:r>
      <w:r>
        <w:t xml:space="preserve"> </w:t>
      </w:r>
      <w:r w:rsidR="00D71F13">
        <w:t>affiliazione degli autori</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1194192484"/>
      <w:docPartObj>
        <w:docPartGallery w:val="Page Numbers (Top of Page)"/>
        <w:docPartUnique/>
      </w:docPartObj>
    </w:sdtPr>
    <w:sdtEndPr/>
    <w:sdtContent>
      <w:p w14:paraId="7445C8E6" w14:textId="30D7D1D4" w:rsidR="00B56DEF" w:rsidRPr="00B56DEF" w:rsidRDefault="00B56DEF" w:rsidP="00B56DEF">
        <w:pPr>
          <w:pStyle w:val="Intestazione"/>
          <w:tabs>
            <w:tab w:val="clear" w:pos="4819"/>
            <w:tab w:val="clear" w:pos="9638"/>
            <w:tab w:val="center" w:pos="3629"/>
          </w:tabs>
          <w:rPr>
            <w:rFonts w:ascii="Times New Roman" w:hAnsi="Times New Roman" w:cs="Times New Roman"/>
          </w:rPr>
        </w:pPr>
        <w:r w:rsidRPr="00B56DEF">
          <w:rPr>
            <w:rFonts w:ascii="Times New Roman" w:hAnsi="Times New Roman" w:cs="Times New Roman"/>
          </w:rPr>
          <w:fldChar w:fldCharType="begin"/>
        </w:r>
        <w:r w:rsidRPr="00B56DEF">
          <w:rPr>
            <w:rFonts w:ascii="Times New Roman" w:hAnsi="Times New Roman" w:cs="Times New Roman"/>
          </w:rPr>
          <w:instrText>PAGE   \* MERGEFORMAT</w:instrText>
        </w:r>
        <w:r w:rsidRPr="00B56DEF">
          <w:rPr>
            <w:rFonts w:ascii="Times New Roman" w:hAnsi="Times New Roman" w:cs="Times New Roman"/>
          </w:rPr>
          <w:fldChar w:fldCharType="separate"/>
        </w:r>
        <w:r w:rsidRPr="00B56DEF">
          <w:rPr>
            <w:rFonts w:ascii="Times New Roman" w:hAnsi="Times New Roman" w:cs="Times New Roman"/>
          </w:rPr>
          <w:t>2</w:t>
        </w:r>
        <w:r w:rsidRPr="00B56DEF">
          <w:rPr>
            <w:rFonts w:ascii="Times New Roman" w:hAnsi="Times New Roman" w:cs="Times New Roman"/>
          </w:rPr>
          <w:fldChar w:fldCharType="end"/>
        </w:r>
        <w:r>
          <w:rPr>
            <w:rFonts w:ascii="Times New Roman" w:hAnsi="Times New Roman" w:cs="Times New Roman"/>
          </w:rPr>
          <w:tab/>
        </w:r>
        <w:r w:rsidR="00E854CA" w:rsidRPr="00962DF1">
          <w:rPr>
            <w:rFonts w:ascii="ZapfHumnst BT" w:hAnsi="ZapfHumnst BT" w:cs="Times New Roman"/>
            <w:sz w:val="18"/>
            <w:szCs w:val="18"/>
          </w:rPr>
          <w:t>Autore</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0482832"/>
      <w:docPartObj>
        <w:docPartGallery w:val="Page Numbers (Top of Page)"/>
        <w:docPartUnique/>
      </w:docPartObj>
    </w:sdtPr>
    <w:sdtEndPr>
      <w:rPr>
        <w:rFonts w:ascii="Times New Roman" w:hAnsi="Times New Roman" w:cs="Times New Roman"/>
      </w:rPr>
    </w:sdtEndPr>
    <w:sdtContent>
      <w:p w14:paraId="3E0F6050" w14:textId="5F10D12B" w:rsidR="00B56DEF" w:rsidRPr="00B56DEF" w:rsidRDefault="00B56DEF" w:rsidP="00B56DEF">
        <w:pPr>
          <w:pStyle w:val="Intestazione"/>
          <w:tabs>
            <w:tab w:val="clear" w:pos="4819"/>
            <w:tab w:val="clear" w:pos="9638"/>
            <w:tab w:val="center" w:pos="3629"/>
            <w:tab w:val="right" w:pos="7258"/>
          </w:tabs>
          <w:jc w:val="right"/>
          <w:rPr>
            <w:rFonts w:ascii="Times New Roman" w:hAnsi="Times New Roman" w:cs="Times New Roman"/>
          </w:rPr>
        </w:pPr>
        <w:r>
          <w:rPr>
            <w:rFonts w:ascii="Times New Roman" w:hAnsi="Times New Roman" w:cs="Times New Roman"/>
          </w:rPr>
          <w:tab/>
        </w:r>
        <w:r w:rsidRPr="00962DF1">
          <w:rPr>
            <w:rFonts w:ascii="ZapfHumnst BT" w:hAnsi="ZapfHumnst BT" w:cs="Times New Roman"/>
            <w:sz w:val="18"/>
            <w:szCs w:val="18"/>
          </w:rPr>
          <w:t>Titolo del capitolo</w:t>
        </w:r>
        <w:r w:rsidRPr="00962DF1">
          <w:rPr>
            <w:rFonts w:ascii="ZapfHumnst BT" w:hAnsi="ZapfHumnst BT"/>
          </w:rPr>
          <w:t xml:space="preserve"> </w:t>
        </w:r>
        <w:r>
          <w:tab/>
        </w:r>
        <w:r w:rsidRPr="00B56DEF">
          <w:rPr>
            <w:rFonts w:ascii="Times New Roman" w:hAnsi="Times New Roman" w:cs="Times New Roman"/>
          </w:rPr>
          <w:fldChar w:fldCharType="begin"/>
        </w:r>
        <w:r w:rsidRPr="00B56DEF">
          <w:rPr>
            <w:rFonts w:ascii="Times New Roman" w:hAnsi="Times New Roman" w:cs="Times New Roman"/>
          </w:rPr>
          <w:instrText>PAGE   \* MERGEFORMAT</w:instrText>
        </w:r>
        <w:r w:rsidRPr="00B56DEF">
          <w:rPr>
            <w:rFonts w:ascii="Times New Roman" w:hAnsi="Times New Roman" w:cs="Times New Roman"/>
          </w:rPr>
          <w:fldChar w:fldCharType="separate"/>
        </w:r>
        <w:r w:rsidRPr="00B56DEF">
          <w:rPr>
            <w:rFonts w:ascii="Times New Roman" w:hAnsi="Times New Roman" w:cs="Times New Roman"/>
          </w:rPr>
          <w:t>2</w:t>
        </w:r>
        <w:r w:rsidRPr="00B56DEF">
          <w:rPr>
            <w:rFonts w:ascii="Times New Roman" w:hAnsi="Times New Roman" w:cs="Times New Roman"/>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236EB9E2"/>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1A1389C"/>
    <w:multiLevelType w:val="hybridMultilevel"/>
    <w:tmpl w:val="E138DB8A"/>
    <w:lvl w:ilvl="0" w:tplc="7F985F98">
      <w:start w:val="1"/>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872AD2"/>
    <w:multiLevelType w:val="hybridMultilevel"/>
    <w:tmpl w:val="09BA64F0"/>
    <w:lvl w:ilvl="0" w:tplc="E64EE238">
      <w:start w:val="1"/>
      <w:numFmt w:val="bullet"/>
      <w:lvlText w:val="-"/>
      <w:lvlJc w:val="left"/>
      <w:pPr>
        <w:ind w:left="720" w:hanging="360"/>
      </w:pPr>
      <w:rPr>
        <w:rFonts w:ascii="Garamond" w:eastAsia="Lustria" w:hAnsi="Garamond" w:cs="Lustri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371485F"/>
    <w:multiLevelType w:val="hybridMultilevel"/>
    <w:tmpl w:val="2F508E5E"/>
    <w:lvl w:ilvl="0" w:tplc="1512BF06">
      <w:start w:val="1"/>
      <w:numFmt w:val="bullet"/>
      <w:pStyle w:val="Capoversoelencotratti"/>
      <w:lvlText w:val="–"/>
      <w:lvlJc w:val="left"/>
      <w:pPr>
        <w:ind w:left="360" w:hanging="360"/>
      </w:pPr>
      <w:rPr>
        <w:rFonts w:ascii="Simoncini Garamond Std" w:hAnsi="Simoncini Garamond Std"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4" w15:restartNumberingAfterBreak="0">
    <w:nsid w:val="08C21F6F"/>
    <w:multiLevelType w:val="hybridMultilevel"/>
    <w:tmpl w:val="E8300C3E"/>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0E032A56"/>
    <w:multiLevelType w:val="hybridMultilevel"/>
    <w:tmpl w:val="67B4E29A"/>
    <w:lvl w:ilvl="0" w:tplc="88D4C476">
      <w:numFmt w:val="bullet"/>
      <w:lvlText w:val="-"/>
      <w:lvlJc w:val="left"/>
      <w:pPr>
        <w:ind w:left="1068" w:hanging="708"/>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C72299"/>
    <w:multiLevelType w:val="multilevel"/>
    <w:tmpl w:val="3D72B31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E777630"/>
    <w:multiLevelType w:val="hybridMultilevel"/>
    <w:tmpl w:val="DCF2BC44"/>
    <w:lvl w:ilvl="0" w:tplc="41C0B652">
      <w:start w:val="4"/>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DD423B"/>
    <w:multiLevelType w:val="hybridMultilevel"/>
    <w:tmpl w:val="3B90721E"/>
    <w:lvl w:ilvl="0" w:tplc="A8B6C928">
      <w:start w:val="1"/>
      <w:numFmt w:val="bullet"/>
      <w:lvlText w:val="−"/>
      <w:lvlJc w:val="left"/>
      <w:pPr>
        <w:ind w:left="720" w:hanging="360"/>
      </w:pPr>
      <w:rPr>
        <w:rFonts w:ascii="Segoe UI" w:hAnsi="Segoe U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A682334"/>
    <w:multiLevelType w:val="hybridMultilevel"/>
    <w:tmpl w:val="C49AEC92"/>
    <w:lvl w:ilvl="0" w:tplc="86E46EB0">
      <w:start w:val="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B8831C0"/>
    <w:multiLevelType w:val="hybridMultilevel"/>
    <w:tmpl w:val="B518CE5C"/>
    <w:lvl w:ilvl="0" w:tplc="36885FEC">
      <w:start w:val="1"/>
      <w:numFmt w:val="decimal"/>
      <w:pStyle w:val="Capoversoelenconumeri"/>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11" w15:restartNumberingAfterBreak="0">
    <w:nsid w:val="34752ED5"/>
    <w:multiLevelType w:val="hybridMultilevel"/>
    <w:tmpl w:val="CAE410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A8E1A17"/>
    <w:multiLevelType w:val="multilevel"/>
    <w:tmpl w:val="11E86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F501BD9"/>
    <w:multiLevelType w:val="multilevel"/>
    <w:tmpl w:val="20EA09F2"/>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b/>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FFE3C29"/>
    <w:multiLevelType w:val="multilevel"/>
    <w:tmpl w:val="714A9EDA"/>
    <w:lvl w:ilvl="0">
      <w:start w:val="1"/>
      <w:numFmt w:val="decimal"/>
      <w:lvlText w:val="%1."/>
      <w:lvlJc w:val="left"/>
      <w:pPr>
        <w:ind w:left="360" w:hanging="360"/>
      </w:pPr>
      <w:rPr>
        <w:rFonts w:hint="default"/>
        <w:b/>
        <w:sz w:val="24"/>
      </w:rPr>
    </w:lvl>
    <w:lvl w:ilvl="1">
      <w:start w:val="1"/>
      <w:numFmt w:val="decimal"/>
      <w:lvlText w:val="%1.%2."/>
      <w:lvlJc w:val="left"/>
      <w:pPr>
        <w:ind w:left="720" w:hanging="720"/>
      </w:pPr>
      <w:rPr>
        <w:rFonts w:hint="default"/>
        <w:b/>
        <w:sz w:val="24"/>
      </w:rPr>
    </w:lvl>
    <w:lvl w:ilvl="2">
      <w:start w:val="1"/>
      <w:numFmt w:val="decimal"/>
      <w:lvlText w:val="%1.%2.%3."/>
      <w:lvlJc w:val="left"/>
      <w:pPr>
        <w:ind w:left="720" w:hanging="720"/>
      </w:pPr>
      <w:rPr>
        <w:rFonts w:hint="default"/>
        <w:b/>
        <w:sz w:val="24"/>
      </w:rPr>
    </w:lvl>
    <w:lvl w:ilvl="3">
      <w:start w:val="1"/>
      <w:numFmt w:val="decimal"/>
      <w:lvlText w:val="%1.%2.%3.%4."/>
      <w:lvlJc w:val="left"/>
      <w:pPr>
        <w:ind w:left="1080" w:hanging="1080"/>
      </w:pPr>
      <w:rPr>
        <w:rFonts w:hint="default"/>
        <w:b/>
        <w:sz w:val="24"/>
      </w:rPr>
    </w:lvl>
    <w:lvl w:ilvl="4">
      <w:start w:val="1"/>
      <w:numFmt w:val="decimal"/>
      <w:lvlText w:val="%1.%2.%3.%4.%5."/>
      <w:lvlJc w:val="left"/>
      <w:pPr>
        <w:ind w:left="1440" w:hanging="1440"/>
      </w:pPr>
      <w:rPr>
        <w:rFonts w:hint="default"/>
        <w:b/>
        <w:sz w:val="24"/>
      </w:rPr>
    </w:lvl>
    <w:lvl w:ilvl="5">
      <w:start w:val="1"/>
      <w:numFmt w:val="decimal"/>
      <w:lvlText w:val="%1.%2.%3.%4.%5.%6."/>
      <w:lvlJc w:val="left"/>
      <w:pPr>
        <w:ind w:left="1440" w:hanging="1440"/>
      </w:pPr>
      <w:rPr>
        <w:rFonts w:hint="default"/>
        <w:b/>
        <w:sz w:val="24"/>
      </w:rPr>
    </w:lvl>
    <w:lvl w:ilvl="6">
      <w:start w:val="1"/>
      <w:numFmt w:val="decimal"/>
      <w:lvlText w:val="%1.%2.%3.%4.%5.%6.%7."/>
      <w:lvlJc w:val="left"/>
      <w:pPr>
        <w:ind w:left="1800" w:hanging="1800"/>
      </w:pPr>
      <w:rPr>
        <w:rFonts w:hint="default"/>
        <w:b/>
        <w:sz w:val="24"/>
      </w:rPr>
    </w:lvl>
    <w:lvl w:ilvl="7">
      <w:start w:val="1"/>
      <w:numFmt w:val="decimal"/>
      <w:lvlText w:val="%1.%2.%3.%4.%5.%6.%7.%8."/>
      <w:lvlJc w:val="left"/>
      <w:pPr>
        <w:ind w:left="2160" w:hanging="2160"/>
      </w:pPr>
      <w:rPr>
        <w:rFonts w:hint="default"/>
        <w:b/>
        <w:sz w:val="24"/>
      </w:rPr>
    </w:lvl>
    <w:lvl w:ilvl="8">
      <w:start w:val="1"/>
      <w:numFmt w:val="decimal"/>
      <w:lvlText w:val="%1.%2.%3.%4.%5.%6.%7.%8.%9."/>
      <w:lvlJc w:val="left"/>
      <w:pPr>
        <w:ind w:left="2160" w:hanging="2160"/>
      </w:pPr>
      <w:rPr>
        <w:rFonts w:hint="default"/>
        <w:b/>
        <w:sz w:val="24"/>
      </w:rPr>
    </w:lvl>
  </w:abstractNum>
  <w:abstractNum w:abstractNumId="15" w15:restartNumberingAfterBreak="0">
    <w:nsid w:val="42056C5C"/>
    <w:multiLevelType w:val="hybridMultilevel"/>
    <w:tmpl w:val="C860B84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44F35348"/>
    <w:multiLevelType w:val="multilevel"/>
    <w:tmpl w:val="9470F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5FD3015"/>
    <w:multiLevelType w:val="multilevel"/>
    <w:tmpl w:val="A33256C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E9F3D2F"/>
    <w:multiLevelType w:val="multilevel"/>
    <w:tmpl w:val="0B52AEA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50F37E0"/>
    <w:multiLevelType w:val="hybridMultilevel"/>
    <w:tmpl w:val="39FCE866"/>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66103061"/>
    <w:multiLevelType w:val="hybridMultilevel"/>
    <w:tmpl w:val="83EC8B9A"/>
    <w:lvl w:ilvl="0" w:tplc="5F2C8A5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1" w15:restartNumberingAfterBreak="0">
    <w:nsid w:val="69134C7F"/>
    <w:multiLevelType w:val="hybridMultilevel"/>
    <w:tmpl w:val="F5EE31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B9C0D88"/>
    <w:multiLevelType w:val="hybridMultilevel"/>
    <w:tmpl w:val="9F24A48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6EE46943"/>
    <w:multiLevelType w:val="hybridMultilevel"/>
    <w:tmpl w:val="E272CF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F1A0DB6"/>
    <w:multiLevelType w:val="hybridMultilevel"/>
    <w:tmpl w:val="87647F8C"/>
    <w:lvl w:ilvl="0" w:tplc="836C5C06">
      <w:start w:val="1"/>
      <w:numFmt w:val="bullet"/>
      <w:pStyle w:val="Capoversoelencopallini"/>
      <w:lvlText w:val="•"/>
      <w:lvlJc w:val="left"/>
      <w:pPr>
        <w:ind w:left="1004" w:hanging="360"/>
      </w:pPr>
      <w:rPr>
        <w:rFonts w:ascii="Simoncini Garamond Std" w:hAnsi="Simoncini Garamond Std"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5" w15:restartNumberingAfterBreak="0">
    <w:nsid w:val="71A22B03"/>
    <w:multiLevelType w:val="hybridMultilevel"/>
    <w:tmpl w:val="DADE37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4912061"/>
    <w:multiLevelType w:val="hybridMultilevel"/>
    <w:tmpl w:val="259E6CD4"/>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77B93870"/>
    <w:multiLevelType w:val="multilevel"/>
    <w:tmpl w:val="BF1AC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DAF71D3"/>
    <w:multiLevelType w:val="hybridMultilevel"/>
    <w:tmpl w:val="C3845274"/>
    <w:lvl w:ilvl="0" w:tplc="A27E58CC">
      <w:start w:val="1"/>
      <w:numFmt w:val="lowerLetter"/>
      <w:pStyle w:val="Capoversoelencolettere"/>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29" w15:restartNumberingAfterBreak="0">
    <w:nsid w:val="7DDD4B43"/>
    <w:multiLevelType w:val="multilevel"/>
    <w:tmpl w:val="3BC0AFD4"/>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E2A6664"/>
    <w:multiLevelType w:val="hybridMultilevel"/>
    <w:tmpl w:val="8FF29B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7"/>
  </w:num>
  <w:num w:numId="3">
    <w:abstractNumId w:val="16"/>
  </w:num>
  <w:num w:numId="4">
    <w:abstractNumId w:val="20"/>
  </w:num>
  <w:num w:numId="5">
    <w:abstractNumId w:val="18"/>
  </w:num>
  <w:num w:numId="6">
    <w:abstractNumId w:val="25"/>
  </w:num>
  <w:num w:numId="7">
    <w:abstractNumId w:val="21"/>
  </w:num>
  <w:num w:numId="8">
    <w:abstractNumId w:val="13"/>
  </w:num>
  <w:num w:numId="9">
    <w:abstractNumId w:val="23"/>
  </w:num>
  <w:num w:numId="10">
    <w:abstractNumId w:val="30"/>
  </w:num>
  <w:num w:numId="11">
    <w:abstractNumId w:val="12"/>
  </w:num>
  <w:num w:numId="12">
    <w:abstractNumId w:val="11"/>
  </w:num>
  <w:num w:numId="13">
    <w:abstractNumId w:val="7"/>
  </w:num>
  <w:num w:numId="14">
    <w:abstractNumId w:val="9"/>
  </w:num>
  <w:num w:numId="15">
    <w:abstractNumId w:val="2"/>
  </w:num>
  <w:num w:numId="16">
    <w:abstractNumId w:val="0"/>
  </w:num>
  <w:num w:numId="17">
    <w:abstractNumId w:val="19"/>
  </w:num>
  <w:num w:numId="18">
    <w:abstractNumId w:val="4"/>
  </w:num>
  <w:num w:numId="19">
    <w:abstractNumId w:val="15"/>
  </w:num>
  <w:num w:numId="20">
    <w:abstractNumId w:val="22"/>
  </w:num>
  <w:num w:numId="21">
    <w:abstractNumId w:val="8"/>
  </w:num>
  <w:num w:numId="22">
    <w:abstractNumId w:val="29"/>
  </w:num>
  <w:num w:numId="23">
    <w:abstractNumId w:val="14"/>
  </w:num>
  <w:num w:numId="24">
    <w:abstractNumId w:val="17"/>
  </w:num>
  <w:num w:numId="25">
    <w:abstractNumId w:val="26"/>
  </w:num>
  <w:num w:numId="26">
    <w:abstractNumId w:val="5"/>
  </w:num>
  <w:num w:numId="27">
    <w:abstractNumId w:val="28"/>
  </w:num>
  <w:num w:numId="28">
    <w:abstractNumId w:val="10"/>
  </w:num>
  <w:num w:numId="29">
    <w:abstractNumId w:val="3"/>
  </w:num>
  <w:num w:numId="30">
    <w:abstractNumId w:val="24"/>
  </w:num>
  <w:num w:numId="31">
    <w:abstractNumId w:val="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9"/>
  <w:autoHyphenation/>
  <w:hyphenationZone w:val="283"/>
  <w:evenAndOddHeaders/>
  <w:characterSpacingControl w:val="doNotCompress"/>
  <w:footnotePr>
    <w:numRestart w:val="eachSect"/>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2EBF"/>
    <w:rsid w:val="00000FD5"/>
    <w:rsid w:val="00004C99"/>
    <w:rsid w:val="00007BE8"/>
    <w:rsid w:val="00047F9C"/>
    <w:rsid w:val="0005110D"/>
    <w:rsid w:val="00052D50"/>
    <w:rsid w:val="00055529"/>
    <w:rsid w:val="000658BA"/>
    <w:rsid w:val="0006677E"/>
    <w:rsid w:val="00082D9A"/>
    <w:rsid w:val="00085D56"/>
    <w:rsid w:val="000917FD"/>
    <w:rsid w:val="0009383E"/>
    <w:rsid w:val="000A2790"/>
    <w:rsid w:val="000B709C"/>
    <w:rsid w:val="000C1D2F"/>
    <w:rsid w:val="000C395F"/>
    <w:rsid w:val="000C73C9"/>
    <w:rsid w:val="000D1916"/>
    <w:rsid w:val="000E7443"/>
    <w:rsid w:val="000F2FF1"/>
    <w:rsid w:val="000F3717"/>
    <w:rsid w:val="00103842"/>
    <w:rsid w:val="00112A31"/>
    <w:rsid w:val="0011647C"/>
    <w:rsid w:val="0012528E"/>
    <w:rsid w:val="00127DBB"/>
    <w:rsid w:val="00132CE1"/>
    <w:rsid w:val="00141DE5"/>
    <w:rsid w:val="001634C5"/>
    <w:rsid w:val="001637DA"/>
    <w:rsid w:val="0017044B"/>
    <w:rsid w:val="0017118C"/>
    <w:rsid w:val="00177032"/>
    <w:rsid w:val="001A15C6"/>
    <w:rsid w:val="001B4C04"/>
    <w:rsid w:val="001C1A90"/>
    <w:rsid w:val="001D28DB"/>
    <w:rsid w:val="001D3287"/>
    <w:rsid w:val="001D6910"/>
    <w:rsid w:val="001F42EF"/>
    <w:rsid w:val="001F4D0D"/>
    <w:rsid w:val="001F6795"/>
    <w:rsid w:val="00202B7C"/>
    <w:rsid w:val="00233F27"/>
    <w:rsid w:val="002457FD"/>
    <w:rsid w:val="0025311E"/>
    <w:rsid w:val="002708E3"/>
    <w:rsid w:val="00276971"/>
    <w:rsid w:val="00281D5A"/>
    <w:rsid w:val="00284D73"/>
    <w:rsid w:val="00291278"/>
    <w:rsid w:val="00295434"/>
    <w:rsid w:val="00296B41"/>
    <w:rsid w:val="002A4753"/>
    <w:rsid w:val="002A68D3"/>
    <w:rsid w:val="002B15F1"/>
    <w:rsid w:val="002F0C34"/>
    <w:rsid w:val="002F2A1D"/>
    <w:rsid w:val="002F4727"/>
    <w:rsid w:val="00304285"/>
    <w:rsid w:val="00306CD8"/>
    <w:rsid w:val="00313D74"/>
    <w:rsid w:val="00316485"/>
    <w:rsid w:val="00317545"/>
    <w:rsid w:val="00317EF4"/>
    <w:rsid w:val="00363288"/>
    <w:rsid w:val="00364B37"/>
    <w:rsid w:val="00371273"/>
    <w:rsid w:val="00371C74"/>
    <w:rsid w:val="003724FB"/>
    <w:rsid w:val="00385E50"/>
    <w:rsid w:val="00385F9F"/>
    <w:rsid w:val="00395175"/>
    <w:rsid w:val="003A34EA"/>
    <w:rsid w:val="003A4B4B"/>
    <w:rsid w:val="003A5D65"/>
    <w:rsid w:val="003A7E13"/>
    <w:rsid w:val="003B35ED"/>
    <w:rsid w:val="003B7DF6"/>
    <w:rsid w:val="003C7CD6"/>
    <w:rsid w:val="003D4C28"/>
    <w:rsid w:val="003E4A83"/>
    <w:rsid w:val="003E747D"/>
    <w:rsid w:val="003F07F6"/>
    <w:rsid w:val="003F47E7"/>
    <w:rsid w:val="00412FE4"/>
    <w:rsid w:val="0044116F"/>
    <w:rsid w:val="0045283D"/>
    <w:rsid w:val="0046773F"/>
    <w:rsid w:val="00472669"/>
    <w:rsid w:val="00476596"/>
    <w:rsid w:val="00484250"/>
    <w:rsid w:val="00497D6F"/>
    <w:rsid w:val="004A6A16"/>
    <w:rsid w:val="004B4549"/>
    <w:rsid w:val="004B508A"/>
    <w:rsid w:val="004B724A"/>
    <w:rsid w:val="004B76BF"/>
    <w:rsid w:val="004D5231"/>
    <w:rsid w:val="004F6CA9"/>
    <w:rsid w:val="005022FD"/>
    <w:rsid w:val="00511004"/>
    <w:rsid w:val="00513199"/>
    <w:rsid w:val="00515400"/>
    <w:rsid w:val="00531699"/>
    <w:rsid w:val="00540490"/>
    <w:rsid w:val="00544361"/>
    <w:rsid w:val="00554FF4"/>
    <w:rsid w:val="00560D2F"/>
    <w:rsid w:val="005701FB"/>
    <w:rsid w:val="00580B4C"/>
    <w:rsid w:val="005812C3"/>
    <w:rsid w:val="005839AF"/>
    <w:rsid w:val="005B0D4C"/>
    <w:rsid w:val="005E5473"/>
    <w:rsid w:val="00602418"/>
    <w:rsid w:val="00621357"/>
    <w:rsid w:val="006271D9"/>
    <w:rsid w:val="006369A4"/>
    <w:rsid w:val="00670648"/>
    <w:rsid w:val="006907F9"/>
    <w:rsid w:val="00695156"/>
    <w:rsid w:val="006A152A"/>
    <w:rsid w:val="006A2DD3"/>
    <w:rsid w:val="006A4A3C"/>
    <w:rsid w:val="006C51D4"/>
    <w:rsid w:val="006E7557"/>
    <w:rsid w:val="006E76ED"/>
    <w:rsid w:val="006F7B7D"/>
    <w:rsid w:val="007029BC"/>
    <w:rsid w:val="00703263"/>
    <w:rsid w:val="00704469"/>
    <w:rsid w:val="0070590E"/>
    <w:rsid w:val="0070632A"/>
    <w:rsid w:val="00710DBE"/>
    <w:rsid w:val="00715A2F"/>
    <w:rsid w:val="00727B92"/>
    <w:rsid w:val="0073047C"/>
    <w:rsid w:val="007323F0"/>
    <w:rsid w:val="007333B9"/>
    <w:rsid w:val="0075623D"/>
    <w:rsid w:val="00765C0D"/>
    <w:rsid w:val="00780DEE"/>
    <w:rsid w:val="00796E62"/>
    <w:rsid w:val="007B479D"/>
    <w:rsid w:val="007C1E7E"/>
    <w:rsid w:val="007C4CED"/>
    <w:rsid w:val="007C7050"/>
    <w:rsid w:val="007E023E"/>
    <w:rsid w:val="007E1E63"/>
    <w:rsid w:val="007E2C68"/>
    <w:rsid w:val="007E7AF8"/>
    <w:rsid w:val="007F5080"/>
    <w:rsid w:val="0080150A"/>
    <w:rsid w:val="0082470D"/>
    <w:rsid w:val="00824CA3"/>
    <w:rsid w:val="0083193A"/>
    <w:rsid w:val="008328E6"/>
    <w:rsid w:val="00841519"/>
    <w:rsid w:val="008568AA"/>
    <w:rsid w:val="00860A49"/>
    <w:rsid w:val="00874B67"/>
    <w:rsid w:val="00880184"/>
    <w:rsid w:val="00880F07"/>
    <w:rsid w:val="008816F0"/>
    <w:rsid w:val="008860F5"/>
    <w:rsid w:val="00891436"/>
    <w:rsid w:val="008A5921"/>
    <w:rsid w:val="008A7B9E"/>
    <w:rsid w:val="008B3C55"/>
    <w:rsid w:val="008C3EB1"/>
    <w:rsid w:val="008D250A"/>
    <w:rsid w:val="008D4EC2"/>
    <w:rsid w:val="008E1EF9"/>
    <w:rsid w:val="008F7232"/>
    <w:rsid w:val="0090099B"/>
    <w:rsid w:val="00903AE3"/>
    <w:rsid w:val="00906CBA"/>
    <w:rsid w:val="00930656"/>
    <w:rsid w:val="009331B3"/>
    <w:rsid w:val="00933425"/>
    <w:rsid w:val="00941B4F"/>
    <w:rsid w:val="00952F9B"/>
    <w:rsid w:val="00960DE7"/>
    <w:rsid w:val="00962DF1"/>
    <w:rsid w:val="00970B22"/>
    <w:rsid w:val="00982F7C"/>
    <w:rsid w:val="0099597C"/>
    <w:rsid w:val="009C0F6A"/>
    <w:rsid w:val="009D68A8"/>
    <w:rsid w:val="009E1BB2"/>
    <w:rsid w:val="009F314C"/>
    <w:rsid w:val="00A07A04"/>
    <w:rsid w:val="00A15AB2"/>
    <w:rsid w:val="00A22C23"/>
    <w:rsid w:val="00A23E19"/>
    <w:rsid w:val="00A31A98"/>
    <w:rsid w:val="00A35E9D"/>
    <w:rsid w:val="00A36CE3"/>
    <w:rsid w:val="00A60B95"/>
    <w:rsid w:val="00A6297C"/>
    <w:rsid w:val="00A6370F"/>
    <w:rsid w:val="00A778F8"/>
    <w:rsid w:val="00A802AC"/>
    <w:rsid w:val="00A85256"/>
    <w:rsid w:val="00A85D84"/>
    <w:rsid w:val="00A920AF"/>
    <w:rsid w:val="00AA7E5F"/>
    <w:rsid w:val="00AB3055"/>
    <w:rsid w:val="00AB3396"/>
    <w:rsid w:val="00AB5C3E"/>
    <w:rsid w:val="00AB65D0"/>
    <w:rsid w:val="00AB6EDA"/>
    <w:rsid w:val="00AC66EA"/>
    <w:rsid w:val="00AD1CC7"/>
    <w:rsid w:val="00AD7796"/>
    <w:rsid w:val="00AE4DC6"/>
    <w:rsid w:val="00AF29B8"/>
    <w:rsid w:val="00B07D4D"/>
    <w:rsid w:val="00B12ADC"/>
    <w:rsid w:val="00B13DB9"/>
    <w:rsid w:val="00B31131"/>
    <w:rsid w:val="00B50DA6"/>
    <w:rsid w:val="00B510E3"/>
    <w:rsid w:val="00B52600"/>
    <w:rsid w:val="00B526DC"/>
    <w:rsid w:val="00B56DEF"/>
    <w:rsid w:val="00B57A6A"/>
    <w:rsid w:val="00B7300F"/>
    <w:rsid w:val="00BA7C77"/>
    <w:rsid w:val="00BB5EC0"/>
    <w:rsid w:val="00BC3677"/>
    <w:rsid w:val="00BE6466"/>
    <w:rsid w:val="00BE7F2A"/>
    <w:rsid w:val="00BF26DE"/>
    <w:rsid w:val="00BF5ABA"/>
    <w:rsid w:val="00C00111"/>
    <w:rsid w:val="00C016BE"/>
    <w:rsid w:val="00C04A3C"/>
    <w:rsid w:val="00C31168"/>
    <w:rsid w:val="00C32EB0"/>
    <w:rsid w:val="00C33612"/>
    <w:rsid w:val="00C411C2"/>
    <w:rsid w:val="00C418CF"/>
    <w:rsid w:val="00C46B76"/>
    <w:rsid w:val="00C52A87"/>
    <w:rsid w:val="00C622A4"/>
    <w:rsid w:val="00C62B92"/>
    <w:rsid w:val="00C714F4"/>
    <w:rsid w:val="00C743AD"/>
    <w:rsid w:val="00C75065"/>
    <w:rsid w:val="00C76AFD"/>
    <w:rsid w:val="00C8525C"/>
    <w:rsid w:val="00CA3A30"/>
    <w:rsid w:val="00CA4FE3"/>
    <w:rsid w:val="00CB40D1"/>
    <w:rsid w:val="00CC042D"/>
    <w:rsid w:val="00CC1B8F"/>
    <w:rsid w:val="00CC1E03"/>
    <w:rsid w:val="00CD1F93"/>
    <w:rsid w:val="00CE1803"/>
    <w:rsid w:val="00CE7513"/>
    <w:rsid w:val="00CF0A3F"/>
    <w:rsid w:val="00CF3E43"/>
    <w:rsid w:val="00D0214D"/>
    <w:rsid w:val="00D32FCA"/>
    <w:rsid w:val="00D50DE5"/>
    <w:rsid w:val="00D51316"/>
    <w:rsid w:val="00D551E9"/>
    <w:rsid w:val="00D71F13"/>
    <w:rsid w:val="00D77331"/>
    <w:rsid w:val="00D95CB4"/>
    <w:rsid w:val="00DA0134"/>
    <w:rsid w:val="00DA736A"/>
    <w:rsid w:val="00DB7DD1"/>
    <w:rsid w:val="00DC018E"/>
    <w:rsid w:val="00DE67FE"/>
    <w:rsid w:val="00DF11C5"/>
    <w:rsid w:val="00DF1314"/>
    <w:rsid w:val="00E07407"/>
    <w:rsid w:val="00E15900"/>
    <w:rsid w:val="00E21A23"/>
    <w:rsid w:val="00E405D0"/>
    <w:rsid w:val="00E409F9"/>
    <w:rsid w:val="00E4485C"/>
    <w:rsid w:val="00E45F1E"/>
    <w:rsid w:val="00E50896"/>
    <w:rsid w:val="00E57F6C"/>
    <w:rsid w:val="00E64837"/>
    <w:rsid w:val="00E66227"/>
    <w:rsid w:val="00E67560"/>
    <w:rsid w:val="00E712E6"/>
    <w:rsid w:val="00E71B1C"/>
    <w:rsid w:val="00E73EB5"/>
    <w:rsid w:val="00E854CA"/>
    <w:rsid w:val="00E932E8"/>
    <w:rsid w:val="00E95AFC"/>
    <w:rsid w:val="00EC0166"/>
    <w:rsid w:val="00EC08E4"/>
    <w:rsid w:val="00EE6B5F"/>
    <w:rsid w:val="00EF01D2"/>
    <w:rsid w:val="00EF07EA"/>
    <w:rsid w:val="00EF3F70"/>
    <w:rsid w:val="00F01197"/>
    <w:rsid w:val="00F01B49"/>
    <w:rsid w:val="00F27452"/>
    <w:rsid w:val="00F350EF"/>
    <w:rsid w:val="00F47B61"/>
    <w:rsid w:val="00F52C54"/>
    <w:rsid w:val="00F70F9E"/>
    <w:rsid w:val="00F72EBF"/>
    <w:rsid w:val="00F905CD"/>
    <w:rsid w:val="00FA2BE5"/>
    <w:rsid w:val="00FA6D80"/>
    <w:rsid w:val="00FB21AA"/>
    <w:rsid w:val="00FB2F27"/>
    <w:rsid w:val="00FC3450"/>
    <w:rsid w:val="00FF7BDD"/>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E29F5"/>
  <w15:chartTrackingRefBased/>
  <w15:docId w15:val="{8990B108-65F1-4A24-A0B3-B49D339D3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2528E"/>
  </w:style>
  <w:style w:type="paragraph" w:styleId="Titolo1">
    <w:name w:val="heading 1"/>
    <w:aliases w:val="Titolo volume"/>
    <w:next w:val="Normale"/>
    <w:link w:val="Titolo1Carattere"/>
    <w:uiPriority w:val="9"/>
    <w:qFormat/>
    <w:rsid w:val="006A152A"/>
    <w:pPr>
      <w:keepNext/>
      <w:spacing w:before="2840" w:after="0" w:line="240" w:lineRule="auto"/>
      <w:jc w:val="center"/>
      <w:outlineLvl w:val="0"/>
    </w:pPr>
    <w:rPr>
      <w:rFonts w:ascii="Karla" w:eastAsiaTheme="majorEastAsia" w:hAnsi="Karla" w:cstheme="majorBidi"/>
      <w:b/>
      <w:kern w:val="2"/>
      <w:sz w:val="48"/>
      <w:szCs w:val="40"/>
      <w14:ligatures w14:val="standardContextual"/>
    </w:rPr>
  </w:style>
  <w:style w:type="paragraph" w:styleId="Titolo2">
    <w:name w:val="heading 2"/>
    <w:aliases w:val="Titolo parte"/>
    <w:next w:val="Normale"/>
    <w:link w:val="Titolo2Carattere"/>
    <w:uiPriority w:val="9"/>
    <w:unhideWhenUsed/>
    <w:qFormat/>
    <w:rsid w:val="00962DF1"/>
    <w:pPr>
      <w:keepNext/>
      <w:keepLines/>
      <w:spacing w:before="1848" w:after="0" w:line="420" w:lineRule="exact"/>
      <w:jc w:val="center"/>
      <w:outlineLvl w:val="1"/>
    </w:pPr>
    <w:rPr>
      <w:rFonts w:ascii="ZapfHumnst BT" w:eastAsiaTheme="majorEastAsia" w:hAnsi="ZapfHumnst BT" w:cstheme="majorBidi"/>
      <w:b/>
      <w:kern w:val="2"/>
      <w:sz w:val="36"/>
      <w:szCs w:val="32"/>
    </w:rPr>
  </w:style>
  <w:style w:type="paragraph" w:styleId="Titolo3">
    <w:name w:val="heading 3"/>
    <w:aliases w:val="Titolo del capitolo"/>
    <w:next w:val="Normale"/>
    <w:link w:val="Titolo3Carattere"/>
    <w:uiPriority w:val="9"/>
    <w:unhideWhenUsed/>
    <w:qFormat/>
    <w:rsid w:val="00E854CA"/>
    <w:pPr>
      <w:keepNext/>
      <w:spacing w:before="1320" w:after="528" w:line="380" w:lineRule="exact"/>
      <w:jc w:val="center"/>
      <w:outlineLvl w:val="2"/>
    </w:pPr>
    <w:rPr>
      <w:rFonts w:ascii="ZapfHumnst BT" w:eastAsiaTheme="majorEastAsia" w:hAnsi="ZapfHumnst BT" w:cstheme="majorBidi"/>
      <w:b/>
      <w:position w:val="6"/>
      <w:sz w:val="32"/>
      <w:szCs w:val="28"/>
    </w:rPr>
  </w:style>
  <w:style w:type="paragraph" w:styleId="Titolo4">
    <w:name w:val="heading 4"/>
    <w:aliases w:val="Paragrafo"/>
    <w:next w:val="Normale"/>
    <w:link w:val="Titolo4Carattere"/>
    <w:uiPriority w:val="9"/>
    <w:unhideWhenUsed/>
    <w:qFormat/>
    <w:rsid w:val="00E854CA"/>
    <w:pPr>
      <w:keepNext/>
      <w:spacing w:before="508" w:after="254" w:line="290" w:lineRule="exact"/>
      <w:ind w:left="284" w:hanging="284"/>
      <w:jc w:val="both"/>
      <w:outlineLvl w:val="3"/>
    </w:pPr>
    <w:rPr>
      <w:rFonts w:ascii="ZapfHumnst BT" w:eastAsiaTheme="majorEastAsia" w:hAnsi="ZapfHumnst BT" w:cstheme="majorBidi"/>
      <w:b/>
      <w:iCs/>
      <w:kern w:val="2"/>
      <w:sz w:val="24"/>
    </w:rPr>
  </w:style>
  <w:style w:type="paragraph" w:styleId="Titolo5">
    <w:name w:val="heading 5"/>
    <w:aliases w:val="Sottoparagrafo"/>
    <w:next w:val="Normale"/>
    <w:link w:val="Titolo5Carattere"/>
    <w:uiPriority w:val="9"/>
    <w:unhideWhenUsed/>
    <w:qFormat/>
    <w:rsid w:val="00E854CA"/>
    <w:pPr>
      <w:keepNext/>
      <w:spacing w:before="381" w:after="254" w:line="280" w:lineRule="exact"/>
      <w:ind w:left="284" w:hanging="284"/>
      <w:jc w:val="both"/>
      <w:outlineLvl w:val="4"/>
    </w:pPr>
    <w:rPr>
      <w:rFonts w:ascii="ZapfHumnst BT" w:eastAsiaTheme="majorEastAsia" w:hAnsi="ZapfHumnst BT" w:cstheme="majorBidi"/>
      <w:b/>
      <w:kern w:val="2"/>
      <w:sz w:val="23"/>
    </w:rPr>
  </w:style>
  <w:style w:type="paragraph" w:styleId="Titolo6">
    <w:name w:val="heading 6"/>
    <w:next w:val="Normale"/>
    <w:link w:val="Titolo6Carattere"/>
    <w:uiPriority w:val="9"/>
    <w:unhideWhenUsed/>
    <w:qFormat/>
    <w:rsid w:val="004D5231"/>
    <w:pPr>
      <w:keepNext/>
      <w:spacing w:before="256" w:after="128" w:line="264" w:lineRule="exact"/>
      <w:ind w:left="284" w:hanging="284"/>
      <w:jc w:val="both"/>
      <w:outlineLvl w:val="5"/>
    </w:pPr>
    <w:rPr>
      <w:rFonts w:ascii="Optima LT Std" w:eastAsiaTheme="majorEastAsia" w:hAnsi="Optima LT Std" w:cstheme="majorBidi"/>
      <w:i/>
      <w:iCs/>
      <w:kern w:val="2"/>
      <w:sz w:val="23"/>
      <w14:ligatures w14:val="standardContextual"/>
    </w:rPr>
  </w:style>
  <w:style w:type="paragraph" w:styleId="Titolo7">
    <w:name w:val="heading 7"/>
    <w:basedOn w:val="Normale"/>
    <w:next w:val="Normale"/>
    <w:link w:val="Titolo7Carattere"/>
    <w:uiPriority w:val="9"/>
    <w:semiHidden/>
    <w:qFormat/>
    <w:rsid w:val="006A2DD3"/>
    <w:pPr>
      <w:keepNext/>
      <w:keepLines/>
      <w:spacing w:before="40" w:after="0"/>
      <w:outlineLvl w:val="6"/>
    </w:pPr>
    <w:rPr>
      <w:rFonts w:eastAsiaTheme="majorEastAsia" w:cstheme="majorBidi"/>
      <w:color w:val="595959" w:themeColor="text1" w:themeTint="A6"/>
      <w:kern w:val="2"/>
      <w14:ligatures w14:val="standardContextual"/>
    </w:rPr>
  </w:style>
  <w:style w:type="paragraph" w:styleId="Titolo8">
    <w:name w:val="heading 8"/>
    <w:basedOn w:val="Normale"/>
    <w:next w:val="Normale"/>
    <w:link w:val="Titolo8Carattere"/>
    <w:uiPriority w:val="9"/>
    <w:semiHidden/>
    <w:unhideWhenUsed/>
    <w:qFormat/>
    <w:rsid w:val="006A2DD3"/>
    <w:pPr>
      <w:keepNext/>
      <w:keepLines/>
      <w:spacing w:after="0"/>
      <w:outlineLvl w:val="7"/>
    </w:pPr>
    <w:rPr>
      <w:rFonts w:eastAsiaTheme="majorEastAsia" w:cstheme="majorBidi"/>
      <w:i/>
      <w:iCs/>
      <w:color w:val="272727" w:themeColor="text1" w:themeTint="D8"/>
      <w:kern w:val="2"/>
      <w14:ligatures w14:val="standardContextual"/>
    </w:rPr>
  </w:style>
  <w:style w:type="paragraph" w:styleId="Titolo9">
    <w:name w:val="heading 9"/>
    <w:basedOn w:val="Normale"/>
    <w:next w:val="Normale"/>
    <w:link w:val="Titolo9Carattere"/>
    <w:uiPriority w:val="9"/>
    <w:semiHidden/>
    <w:unhideWhenUsed/>
    <w:qFormat/>
    <w:rsid w:val="006A2DD3"/>
    <w:pPr>
      <w:keepNext/>
      <w:keepLines/>
      <w:spacing w:after="0"/>
      <w:outlineLvl w:val="8"/>
    </w:pPr>
    <w:rPr>
      <w:rFonts w:eastAsiaTheme="majorEastAsia" w:cstheme="majorBidi"/>
      <w:color w:val="272727" w:themeColor="text1" w:themeTint="D8"/>
      <w:kern w:val="2"/>
      <w14:ligatures w14:val="standardContextu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aliases w:val="Titolo volume Carattere"/>
    <w:basedOn w:val="Carpredefinitoparagrafo"/>
    <w:link w:val="Titolo1"/>
    <w:uiPriority w:val="9"/>
    <w:rsid w:val="006A152A"/>
    <w:rPr>
      <w:rFonts w:ascii="Karla" w:eastAsiaTheme="majorEastAsia" w:hAnsi="Karla" w:cstheme="majorBidi"/>
      <w:b/>
      <w:kern w:val="2"/>
      <w:sz w:val="48"/>
      <w:szCs w:val="40"/>
      <w14:ligatures w14:val="standardContextual"/>
    </w:rPr>
  </w:style>
  <w:style w:type="character" w:customStyle="1" w:styleId="Titolo2Carattere">
    <w:name w:val="Titolo 2 Carattere"/>
    <w:aliases w:val="Titolo parte Carattere"/>
    <w:basedOn w:val="Carpredefinitoparagrafo"/>
    <w:link w:val="Titolo2"/>
    <w:uiPriority w:val="9"/>
    <w:rsid w:val="00962DF1"/>
    <w:rPr>
      <w:rFonts w:ascii="ZapfHumnst BT" w:eastAsiaTheme="majorEastAsia" w:hAnsi="ZapfHumnst BT" w:cstheme="majorBidi"/>
      <w:b/>
      <w:kern w:val="2"/>
      <w:sz w:val="36"/>
      <w:szCs w:val="32"/>
    </w:rPr>
  </w:style>
  <w:style w:type="paragraph" w:styleId="Testonotaapidipagina">
    <w:name w:val="footnote text"/>
    <w:link w:val="TestonotaapidipaginaCarattere"/>
    <w:uiPriority w:val="99"/>
    <w:unhideWhenUsed/>
    <w:qFormat/>
    <w:rsid w:val="00E854CA"/>
    <w:pPr>
      <w:spacing w:before="60" w:after="0" w:line="210" w:lineRule="exact"/>
      <w:ind w:firstLine="284"/>
      <w:jc w:val="both"/>
    </w:pPr>
    <w:rPr>
      <w:rFonts w:ascii="Times New Roman" w:hAnsi="Times New Roman"/>
      <w:sz w:val="18"/>
      <w:szCs w:val="20"/>
    </w:rPr>
  </w:style>
  <w:style w:type="character" w:customStyle="1" w:styleId="TestonotaapidipaginaCarattere">
    <w:name w:val="Testo nota a piè di pagina Carattere"/>
    <w:basedOn w:val="Carpredefinitoparagrafo"/>
    <w:link w:val="Testonotaapidipagina"/>
    <w:uiPriority w:val="99"/>
    <w:qFormat/>
    <w:rsid w:val="00E854CA"/>
    <w:rPr>
      <w:rFonts w:ascii="Times New Roman" w:hAnsi="Times New Roman"/>
      <w:sz w:val="18"/>
      <w:szCs w:val="20"/>
    </w:rPr>
  </w:style>
  <w:style w:type="paragraph" w:styleId="Intestazione">
    <w:name w:val="header"/>
    <w:basedOn w:val="Normale"/>
    <w:link w:val="IntestazioneCarattere"/>
    <w:uiPriority w:val="99"/>
    <w:unhideWhenUsed/>
    <w:rsid w:val="00B56DE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56DEF"/>
  </w:style>
  <w:style w:type="paragraph" w:styleId="Pidipagina">
    <w:name w:val="footer"/>
    <w:basedOn w:val="Normale"/>
    <w:link w:val="PidipaginaCarattere"/>
    <w:uiPriority w:val="99"/>
    <w:unhideWhenUsed/>
    <w:rsid w:val="00B56DE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56DEF"/>
  </w:style>
  <w:style w:type="character" w:styleId="Collegamentoipertestuale">
    <w:name w:val="Hyperlink"/>
    <w:basedOn w:val="Carpredefinitoparagrafo"/>
    <w:uiPriority w:val="99"/>
    <w:unhideWhenUsed/>
    <w:rsid w:val="00F01197"/>
    <w:rPr>
      <w:color w:val="auto"/>
      <w:u w:val="none"/>
    </w:rPr>
  </w:style>
  <w:style w:type="character" w:customStyle="1" w:styleId="Titolo3Carattere">
    <w:name w:val="Titolo 3 Carattere"/>
    <w:aliases w:val="Titolo del capitolo Carattere"/>
    <w:basedOn w:val="Carpredefinitoparagrafo"/>
    <w:link w:val="Titolo3"/>
    <w:uiPriority w:val="9"/>
    <w:rsid w:val="00E854CA"/>
    <w:rPr>
      <w:rFonts w:ascii="ZapfHumnst BT" w:eastAsiaTheme="majorEastAsia" w:hAnsi="ZapfHumnst BT" w:cstheme="majorBidi"/>
      <w:b/>
      <w:position w:val="6"/>
      <w:sz w:val="32"/>
      <w:szCs w:val="28"/>
    </w:rPr>
  </w:style>
  <w:style w:type="character" w:customStyle="1" w:styleId="Titolo4Carattere">
    <w:name w:val="Titolo 4 Carattere"/>
    <w:aliases w:val="Paragrafo Carattere"/>
    <w:basedOn w:val="Carpredefinitoparagrafo"/>
    <w:link w:val="Titolo4"/>
    <w:uiPriority w:val="9"/>
    <w:rsid w:val="00E854CA"/>
    <w:rPr>
      <w:rFonts w:ascii="ZapfHumnst BT" w:eastAsiaTheme="majorEastAsia" w:hAnsi="ZapfHumnst BT" w:cstheme="majorBidi"/>
      <w:b/>
      <w:iCs/>
      <w:kern w:val="2"/>
      <w:sz w:val="24"/>
    </w:rPr>
  </w:style>
  <w:style w:type="character" w:customStyle="1" w:styleId="Titolo5Carattere">
    <w:name w:val="Titolo 5 Carattere"/>
    <w:aliases w:val="Sottoparagrafo Carattere"/>
    <w:basedOn w:val="Carpredefinitoparagrafo"/>
    <w:link w:val="Titolo5"/>
    <w:uiPriority w:val="9"/>
    <w:rsid w:val="00E854CA"/>
    <w:rPr>
      <w:rFonts w:ascii="ZapfHumnst BT" w:eastAsiaTheme="majorEastAsia" w:hAnsi="ZapfHumnst BT" w:cstheme="majorBidi"/>
      <w:b/>
      <w:kern w:val="2"/>
      <w:sz w:val="23"/>
    </w:rPr>
  </w:style>
  <w:style w:type="character" w:customStyle="1" w:styleId="Titolo6Carattere">
    <w:name w:val="Titolo 6 Carattere"/>
    <w:basedOn w:val="Carpredefinitoparagrafo"/>
    <w:link w:val="Titolo6"/>
    <w:uiPriority w:val="9"/>
    <w:rsid w:val="004D5231"/>
    <w:rPr>
      <w:rFonts w:ascii="Optima LT Std" w:eastAsiaTheme="majorEastAsia" w:hAnsi="Optima LT Std" w:cstheme="majorBidi"/>
      <w:i/>
      <w:iCs/>
      <w:kern w:val="2"/>
      <w:sz w:val="23"/>
      <w14:ligatures w14:val="standardContextual"/>
    </w:rPr>
  </w:style>
  <w:style w:type="character" w:customStyle="1" w:styleId="Titolo7Carattere">
    <w:name w:val="Titolo 7 Carattere"/>
    <w:basedOn w:val="Carpredefinitoparagrafo"/>
    <w:link w:val="Titolo7"/>
    <w:uiPriority w:val="9"/>
    <w:semiHidden/>
    <w:rsid w:val="00F01197"/>
    <w:rPr>
      <w:rFonts w:eastAsiaTheme="majorEastAsia" w:cstheme="majorBidi"/>
      <w:color w:val="595959" w:themeColor="text1" w:themeTint="A6"/>
      <w:kern w:val="2"/>
      <w14:ligatures w14:val="standardContextual"/>
    </w:rPr>
  </w:style>
  <w:style w:type="character" w:customStyle="1" w:styleId="Titolo8Carattere">
    <w:name w:val="Titolo 8 Carattere"/>
    <w:basedOn w:val="Carpredefinitoparagrafo"/>
    <w:link w:val="Titolo8"/>
    <w:uiPriority w:val="9"/>
    <w:semiHidden/>
    <w:rsid w:val="006A2DD3"/>
    <w:rPr>
      <w:rFonts w:eastAsiaTheme="majorEastAsia" w:cstheme="majorBidi"/>
      <w:i/>
      <w:iCs/>
      <w:color w:val="272727" w:themeColor="text1" w:themeTint="D8"/>
      <w:kern w:val="2"/>
      <w14:ligatures w14:val="standardContextual"/>
    </w:rPr>
  </w:style>
  <w:style w:type="character" w:customStyle="1" w:styleId="Titolo9Carattere">
    <w:name w:val="Titolo 9 Carattere"/>
    <w:basedOn w:val="Carpredefinitoparagrafo"/>
    <w:link w:val="Titolo9"/>
    <w:uiPriority w:val="9"/>
    <w:semiHidden/>
    <w:rsid w:val="006A2DD3"/>
    <w:rPr>
      <w:rFonts w:eastAsiaTheme="majorEastAsia" w:cstheme="majorBidi"/>
      <w:color w:val="272727" w:themeColor="text1" w:themeTint="D8"/>
      <w:kern w:val="2"/>
      <w14:ligatures w14:val="standardContextual"/>
    </w:rPr>
  </w:style>
  <w:style w:type="paragraph" w:styleId="Titolo">
    <w:name w:val="Title"/>
    <w:basedOn w:val="Normale"/>
    <w:next w:val="Normale"/>
    <w:link w:val="TitoloCarattere"/>
    <w:uiPriority w:val="10"/>
    <w:semiHidden/>
    <w:qFormat/>
    <w:rsid w:val="006A2DD3"/>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oloCarattere">
    <w:name w:val="Titolo Carattere"/>
    <w:basedOn w:val="Carpredefinitoparagrafo"/>
    <w:link w:val="Titolo"/>
    <w:uiPriority w:val="10"/>
    <w:semiHidden/>
    <w:rsid w:val="00F01197"/>
    <w:rPr>
      <w:rFonts w:asciiTheme="majorHAnsi" w:eastAsiaTheme="majorEastAsia" w:hAnsiTheme="majorHAnsi" w:cstheme="majorBidi"/>
      <w:spacing w:val="-10"/>
      <w:kern w:val="28"/>
      <w:sz w:val="56"/>
      <w:szCs w:val="56"/>
      <w14:ligatures w14:val="standardContextual"/>
    </w:rPr>
  </w:style>
  <w:style w:type="paragraph" w:styleId="Revisione">
    <w:name w:val="Revision"/>
    <w:hidden/>
    <w:uiPriority w:val="99"/>
    <w:semiHidden/>
    <w:rsid w:val="005839AF"/>
    <w:pPr>
      <w:spacing w:after="0" w:line="240" w:lineRule="auto"/>
    </w:pPr>
  </w:style>
  <w:style w:type="paragraph" w:customStyle="1" w:styleId="Capoverso">
    <w:name w:val="Capoverso"/>
    <w:link w:val="CapoversoCarattere"/>
    <w:qFormat/>
    <w:rsid w:val="00E854CA"/>
    <w:pPr>
      <w:spacing w:after="0" w:line="254" w:lineRule="exact"/>
      <w:ind w:firstLine="284"/>
      <w:jc w:val="both"/>
    </w:pPr>
    <w:rPr>
      <w:rFonts w:ascii="Times New Roman" w:hAnsi="Times New Roman"/>
    </w:rPr>
  </w:style>
  <w:style w:type="character" w:customStyle="1" w:styleId="Dicituracapitolo">
    <w:name w:val="Dicitura capitolo"/>
    <w:basedOn w:val="Carpredefinitoparagrafo"/>
    <w:uiPriority w:val="1"/>
    <w:qFormat/>
    <w:rsid w:val="006A152A"/>
    <w:rPr>
      <w:rFonts w:ascii="Optima LT Std" w:hAnsi="Optima LT Std"/>
      <w:sz w:val="28"/>
    </w:rPr>
  </w:style>
  <w:style w:type="paragraph" w:customStyle="1" w:styleId="Capoversoelencolettere">
    <w:name w:val="Capoverso elenco lettere"/>
    <w:basedOn w:val="Capoverso"/>
    <w:qFormat/>
    <w:rsid w:val="004D5231"/>
    <w:pPr>
      <w:numPr>
        <w:numId w:val="27"/>
      </w:numPr>
      <w:spacing w:before="128" w:after="128"/>
      <w:ind w:left="284" w:hanging="284"/>
      <w:contextualSpacing/>
    </w:pPr>
    <w:rPr>
      <w:rFonts w:eastAsia="Times New Roman" w:cs="Times New Roman"/>
      <w:szCs w:val="24"/>
      <w:lang w:eastAsia="ar-SA"/>
    </w:rPr>
  </w:style>
  <w:style w:type="paragraph" w:customStyle="1" w:styleId="Capoversoelenconumeri">
    <w:name w:val="Capoverso elenco numeri"/>
    <w:basedOn w:val="Capoverso"/>
    <w:qFormat/>
    <w:rsid w:val="00C411C2"/>
    <w:pPr>
      <w:widowControl w:val="0"/>
      <w:numPr>
        <w:numId w:val="28"/>
      </w:numPr>
      <w:spacing w:before="128" w:after="128"/>
      <w:ind w:left="284" w:hanging="284"/>
      <w:contextualSpacing/>
    </w:pPr>
    <w:rPr>
      <w:rFonts w:eastAsia="Times New Roman" w:cs="Times New Roman"/>
      <w:szCs w:val="24"/>
      <w:lang w:eastAsia="ar-SA"/>
    </w:rPr>
  </w:style>
  <w:style w:type="paragraph" w:customStyle="1" w:styleId="Capoversoelencotratti">
    <w:name w:val="Capoverso elenco tratti"/>
    <w:basedOn w:val="Capoverso"/>
    <w:qFormat/>
    <w:rsid w:val="004D5231"/>
    <w:pPr>
      <w:numPr>
        <w:numId w:val="29"/>
      </w:numPr>
      <w:spacing w:before="128" w:after="128"/>
      <w:ind w:left="284" w:hanging="284"/>
      <w:contextualSpacing/>
    </w:pPr>
    <w:rPr>
      <w:rFonts w:eastAsia="Times New Roman" w:cs="Times New Roman"/>
      <w:szCs w:val="24"/>
      <w:lang w:eastAsia="ar-SA"/>
    </w:rPr>
  </w:style>
  <w:style w:type="paragraph" w:customStyle="1" w:styleId="Capoversoelencopallini">
    <w:name w:val="Capoverso elenco pallini"/>
    <w:basedOn w:val="Capoverso"/>
    <w:qFormat/>
    <w:rsid w:val="00C411C2"/>
    <w:pPr>
      <w:widowControl w:val="0"/>
      <w:numPr>
        <w:numId w:val="30"/>
      </w:numPr>
      <w:spacing w:before="128" w:after="128"/>
      <w:ind w:left="284" w:hanging="284"/>
      <w:contextualSpacing/>
    </w:pPr>
    <w:rPr>
      <w:rFonts w:eastAsia="Times New Roman" w:cs="Times New Roman"/>
      <w:szCs w:val="24"/>
      <w:lang w:eastAsia="ar-SA"/>
    </w:rPr>
  </w:style>
  <w:style w:type="paragraph" w:styleId="Didascalia">
    <w:name w:val="caption"/>
    <w:next w:val="Normale"/>
    <w:uiPriority w:val="35"/>
    <w:unhideWhenUsed/>
    <w:qFormat/>
    <w:rsid w:val="00962DF1"/>
    <w:pPr>
      <w:spacing w:before="384" w:after="128" w:line="244" w:lineRule="exact"/>
      <w:ind w:left="284" w:hanging="284"/>
      <w:jc w:val="both"/>
    </w:pPr>
    <w:rPr>
      <w:rFonts w:ascii="ZapfHumnst BT" w:hAnsi="ZapfHumnst BT"/>
      <w:b/>
      <w:iCs/>
      <w:sz w:val="21"/>
      <w:szCs w:val="18"/>
    </w:rPr>
  </w:style>
  <w:style w:type="paragraph" w:customStyle="1" w:styleId="Figura">
    <w:name w:val="Figura"/>
    <w:basedOn w:val="Capoverso"/>
    <w:qFormat/>
    <w:rsid w:val="004D5231"/>
    <w:pPr>
      <w:spacing w:line="240" w:lineRule="auto"/>
      <w:ind w:firstLine="0"/>
      <w:jc w:val="center"/>
    </w:pPr>
  </w:style>
  <w:style w:type="paragraph" w:customStyle="1" w:styleId="Fonte">
    <w:name w:val="Fonte"/>
    <w:qFormat/>
    <w:rsid w:val="004D5231"/>
    <w:pPr>
      <w:spacing w:before="128" w:after="384" w:line="224" w:lineRule="exact"/>
      <w:ind w:left="284" w:hanging="284"/>
      <w:jc w:val="both"/>
    </w:pPr>
    <w:rPr>
      <w:rFonts w:ascii="Times New Roman" w:hAnsi="Times New Roman" w:cs="Times New Roman"/>
      <w:sz w:val="19"/>
      <w:szCs w:val="24"/>
    </w:rPr>
  </w:style>
  <w:style w:type="paragraph" w:styleId="Bibliografia">
    <w:name w:val="Bibliography"/>
    <w:next w:val="Normale"/>
    <w:uiPriority w:val="37"/>
    <w:unhideWhenUsed/>
    <w:rsid w:val="00C411C2"/>
    <w:pPr>
      <w:spacing w:after="0" w:line="236" w:lineRule="exact"/>
      <w:ind w:left="284" w:hanging="284"/>
      <w:jc w:val="both"/>
    </w:pPr>
    <w:rPr>
      <w:rFonts w:ascii="Times New Roman" w:hAnsi="Times New Roman"/>
      <w:sz w:val="20"/>
    </w:rPr>
  </w:style>
  <w:style w:type="paragraph" w:customStyle="1" w:styleId="Bibliografiastacco">
    <w:name w:val="Bibliografia stacco"/>
    <w:basedOn w:val="Bibliografia"/>
    <w:qFormat/>
    <w:rsid w:val="008F7232"/>
    <w:pPr>
      <w:spacing w:before="236"/>
    </w:pPr>
  </w:style>
  <w:style w:type="paragraph" w:styleId="Sommario1">
    <w:name w:val="toc 1"/>
    <w:aliases w:val="Parte"/>
    <w:next w:val="Normale"/>
    <w:uiPriority w:val="39"/>
    <w:unhideWhenUsed/>
    <w:rsid w:val="000C1D2F"/>
    <w:pPr>
      <w:spacing w:before="512" w:after="256" w:line="270" w:lineRule="exact"/>
      <w:ind w:right="851"/>
      <w:jc w:val="center"/>
    </w:pPr>
    <w:rPr>
      <w:rFonts w:ascii="ZapfHumnst BT" w:hAnsi="ZapfHumnst BT"/>
      <w:b/>
      <w:sz w:val="25"/>
    </w:rPr>
  </w:style>
  <w:style w:type="paragraph" w:styleId="Sommario2">
    <w:name w:val="toc 2"/>
    <w:aliases w:val="Capitolo"/>
    <w:next w:val="Normale"/>
    <w:uiPriority w:val="39"/>
    <w:unhideWhenUsed/>
    <w:rsid w:val="000C1D2F"/>
    <w:pPr>
      <w:tabs>
        <w:tab w:val="right" w:pos="6407"/>
        <w:tab w:val="right" w:pos="7258"/>
      </w:tabs>
      <w:spacing w:after="254" w:line="270" w:lineRule="exact"/>
      <w:ind w:left="284" w:right="851" w:hanging="284"/>
    </w:pPr>
    <w:rPr>
      <w:rFonts w:ascii="Times New Roman" w:hAnsi="Times New Roman"/>
      <w:sz w:val="23"/>
    </w:rPr>
  </w:style>
  <w:style w:type="paragraph" w:styleId="Sommario3">
    <w:name w:val="toc 3"/>
    <w:aliases w:val="Sottoparagrafo indice"/>
    <w:next w:val="Normale"/>
    <w:uiPriority w:val="39"/>
    <w:unhideWhenUsed/>
    <w:rsid w:val="00127DBB"/>
    <w:pPr>
      <w:tabs>
        <w:tab w:val="left" w:pos="567"/>
        <w:tab w:val="right" w:pos="7258"/>
      </w:tabs>
      <w:spacing w:after="0" w:line="236" w:lineRule="exact"/>
      <w:ind w:left="1021" w:right="851" w:hanging="567"/>
      <w:jc w:val="both"/>
    </w:pPr>
    <w:rPr>
      <w:rFonts w:ascii="Times New Roman" w:hAnsi="Times New Roman"/>
      <w:sz w:val="20"/>
    </w:rPr>
  </w:style>
  <w:style w:type="character" w:customStyle="1" w:styleId="Indice-dicituracapitolo">
    <w:name w:val="Indice - dicitura capitolo"/>
    <w:basedOn w:val="Collegamentoipertestuale"/>
    <w:uiPriority w:val="1"/>
    <w:qFormat/>
    <w:rsid w:val="00127DBB"/>
    <w:rPr>
      <w:rFonts w:ascii="Optima LT Std" w:hAnsi="Optima LT Std"/>
      <w:noProof/>
      <w:color w:val="auto"/>
      <w:sz w:val="24"/>
      <w:u w:val="none"/>
    </w:rPr>
  </w:style>
  <w:style w:type="character" w:customStyle="1" w:styleId="Dicituraparte">
    <w:name w:val="Dicitura parte"/>
    <w:basedOn w:val="Carpredefinitoparagrafo"/>
    <w:uiPriority w:val="1"/>
    <w:qFormat/>
    <w:rsid w:val="00962DF1"/>
    <w:rPr>
      <w:rFonts w:ascii="ZapfHumnst BT" w:hAnsi="ZapfHumnst BT"/>
      <w:b/>
      <w:sz w:val="32"/>
    </w:rPr>
  </w:style>
  <w:style w:type="character" w:styleId="Rimandonotaapidipagina">
    <w:name w:val="footnote reference"/>
    <w:qFormat/>
    <w:rsid w:val="006E7557"/>
    <w:rPr>
      <w:vertAlign w:val="superscript"/>
    </w:rPr>
  </w:style>
  <w:style w:type="character" w:customStyle="1" w:styleId="CapoversoCarattere">
    <w:name w:val="Capoverso Carattere"/>
    <w:link w:val="Capoverso"/>
    <w:rsid w:val="00E854CA"/>
    <w:rPr>
      <w:rFonts w:ascii="Times New Roman" w:hAnsi="Times New Roman"/>
    </w:rPr>
  </w:style>
  <w:style w:type="paragraph" w:styleId="Paragrafoelenco">
    <w:name w:val="List Paragraph"/>
    <w:basedOn w:val="Normale"/>
    <w:uiPriority w:val="34"/>
    <w:qFormat/>
    <w:rsid w:val="006E7557"/>
    <w:pPr>
      <w:ind w:left="720"/>
      <w:contextualSpacing/>
    </w:pPr>
  </w:style>
  <w:style w:type="paragraph" w:customStyle="1" w:styleId="Sommario">
    <w:name w:val="Sommario"/>
    <w:qFormat/>
    <w:rsid w:val="00E854CA"/>
    <w:pPr>
      <w:autoSpaceDE w:val="0"/>
      <w:autoSpaceDN w:val="0"/>
      <w:adjustRightInd w:val="0"/>
      <w:spacing w:before="528" w:after="792" w:line="224" w:lineRule="exact"/>
      <w:ind w:left="284" w:hanging="284"/>
      <w:jc w:val="both"/>
    </w:pPr>
    <w:rPr>
      <w:rFonts w:ascii="Times New Roman" w:eastAsia="SimSun" w:hAnsi="Times New Roman" w:cs="Times New Roman"/>
      <w:sz w:val="19"/>
      <w:szCs w:val="24"/>
      <w:lang w:eastAsia="hi-IN" w:bidi="hi-IN"/>
    </w:rPr>
  </w:style>
  <w:style w:type="character" w:customStyle="1" w:styleId="Autore">
    <w:name w:val="Autore"/>
    <w:basedOn w:val="Carpredefinitoparagrafo"/>
    <w:uiPriority w:val="1"/>
    <w:qFormat/>
    <w:rsid w:val="00E854CA"/>
    <w:rPr>
      <w:rFonts w:ascii="ZapfHumnst BT" w:hAnsi="ZapfHumnst BT"/>
      <w:b/>
      <w:position w:val="0"/>
      <w:sz w:val="28"/>
      <w:lang w:eastAsia="hi-IN" w:bidi="hi-IN"/>
    </w:rPr>
  </w:style>
  <w:style w:type="paragraph" w:customStyle="1" w:styleId="Abstract">
    <w:name w:val="Abstract"/>
    <w:qFormat/>
    <w:rsid w:val="00703263"/>
    <w:pPr>
      <w:pBdr>
        <w:top w:val="single" w:sz="8" w:space="6" w:color="7F7F7F" w:themeColor="text1" w:themeTint="80"/>
        <w:bottom w:val="single" w:sz="8" w:space="6" w:color="7F7F7F" w:themeColor="text1" w:themeTint="80"/>
      </w:pBdr>
      <w:spacing w:after="0" w:line="220" w:lineRule="exact"/>
      <w:jc w:val="both"/>
    </w:pPr>
    <w:rPr>
      <w:rFonts w:ascii="ZapfHumnst BT" w:hAnsi="ZapfHumnst BT"/>
      <w:sz w:val="18"/>
      <w:lang w:eastAsia="hi-IN" w:bidi="hi-IN"/>
    </w:rPr>
  </w:style>
  <w:style w:type="character" w:customStyle="1" w:styleId="Indicedicituraparte">
    <w:name w:val="Indice dicitura parte"/>
    <w:basedOn w:val="Collegamentoipertestuale"/>
    <w:uiPriority w:val="1"/>
    <w:qFormat/>
    <w:rsid w:val="000C1D2F"/>
    <w:rPr>
      <w:rFonts w:ascii="ZapfHumnst BT" w:hAnsi="ZapfHumnst BT"/>
      <w:b/>
      <w:noProof/>
      <w:color w:val="auto"/>
      <w:position w:val="6"/>
      <w:sz w:val="22"/>
      <w:u w:val="none"/>
    </w:rPr>
  </w:style>
  <w:style w:type="character" w:styleId="Menzionenonrisolta">
    <w:name w:val="Unresolved Mention"/>
    <w:basedOn w:val="Carpredefinitoparagrafo"/>
    <w:uiPriority w:val="99"/>
    <w:semiHidden/>
    <w:unhideWhenUsed/>
    <w:rsid w:val="00860A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iustiziapenale.it/" TargetMode="External"/><Relationship Id="rId5" Type="http://schemas.openxmlformats.org/officeDocument/2006/relationships/webSettings" Target="webSettings.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header" Target="header2.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tx>
            <c:strRef>
              <c:f>Foglio1!$B$1</c:f>
              <c:strCache>
                <c:ptCount val="1"/>
                <c:pt idx="0">
                  <c:v>Serie 1</c:v>
                </c:pt>
              </c:strCache>
            </c:strRef>
          </c:tx>
          <c:spPr>
            <a:solidFill>
              <a:schemeClr val="dk1">
                <a:tint val="88500"/>
              </a:schemeClr>
            </a:solidFill>
            <a:ln>
              <a:noFill/>
            </a:ln>
            <a:effectLst/>
          </c:spPr>
          <c:invertIfNegative val="0"/>
          <c:cat>
            <c:strRef>
              <c:f>Foglio1!$A$2:$A$5</c:f>
              <c:strCache>
                <c:ptCount val="4"/>
                <c:pt idx="0">
                  <c:v>Categoria 1</c:v>
                </c:pt>
                <c:pt idx="1">
                  <c:v>Categoria 2</c:v>
                </c:pt>
                <c:pt idx="2">
                  <c:v>Categoria 3</c:v>
                </c:pt>
                <c:pt idx="3">
                  <c:v>Categoria 4</c:v>
                </c:pt>
              </c:strCache>
            </c:strRef>
          </c:cat>
          <c:val>
            <c:numRef>
              <c:f>Foglio1!$B$2:$B$5</c:f>
              <c:numCache>
                <c:formatCode>General</c:formatCode>
                <c:ptCount val="4"/>
                <c:pt idx="0">
                  <c:v>4.3</c:v>
                </c:pt>
                <c:pt idx="1">
                  <c:v>2.5</c:v>
                </c:pt>
                <c:pt idx="2">
                  <c:v>3.5</c:v>
                </c:pt>
                <c:pt idx="3">
                  <c:v>4.5</c:v>
                </c:pt>
              </c:numCache>
            </c:numRef>
          </c:val>
          <c:extLst>
            <c:ext xmlns:c16="http://schemas.microsoft.com/office/drawing/2014/chart" uri="{C3380CC4-5D6E-409C-BE32-E72D297353CC}">
              <c16:uniqueId val="{00000000-0FB9-425C-8737-3D567B15C26F}"/>
            </c:ext>
          </c:extLst>
        </c:ser>
        <c:ser>
          <c:idx val="1"/>
          <c:order val="1"/>
          <c:tx>
            <c:strRef>
              <c:f>Foglio1!$C$1</c:f>
              <c:strCache>
                <c:ptCount val="1"/>
                <c:pt idx="0">
                  <c:v>Serie 2</c:v>
                </c:pt>
              </c:strCache>
            </c:strRef>
          </c:tx>
          <c:spPr>
            <a:solidFill>
              <a:schemeClr val="dk1">
                <a:tint val="55000"/>
              </a:schemeClr>
            </a:solidFill>
            <a:ln>
              <a:noFill/>
            </a:ln>
            <a:effectLst/>
          </c:spPr>
          <c:invertIfNegative val="0"/>
          <c:cat>
            <c:strRef>
              <c:f>Foglio1!$A$2:$A$5</c:f>
              <c:strCache>
                <c:ptCount val="4"/>
                <c:pt idx="0">
                  <c:v>Categoria 1</c:v>
                </c:pt>
                <c:pt idx="1">
                  <c:v>Categoria 2</c:v>
                </c:pt>
                <c:pt idx="2">
                  <c:v>Categoria 3</c:v>
                </c:pt>
                <c:pt idx="3">
                  <c:v>Categoria 4</c:v>
                </c:pt>
              </c:strCache>
            </c:strRef>
          </c:cat>
          <c:val>
            <c:numRef>
              <c:f>Foglio1!$C$2:$C$5</c:f>
              <c:numCache>
                <c:formatCode>General</c:formatCode>
                <c:ptCount val="4"/>
                <c:pt idx="0">
                  <c:v>2.4</c:v>
                </c:pt>
                <c:pt idx="1">
                  <c:v>4.4000000000000004</c:v>
                </c:pt>
                <c:pt idx="2">
                  <c:v>1.8</c:v>
                </c:pt>
                <c:pt idx="3">
                  <c:v>2.8</c:v>
                </c:pt>
              </c:numCache>
            </c:numRef>
          </c:val>
          <c:extLst>
            <c:ext xmlns:c16="http://schemas.microsoft.com/office/drawing/2014/chart" uri="{C3380CC4-5D6E-409C-BE32-E72D297353CC}">
              <c16:uniqueId val="{00000001-0FB9-425C-8737-3D567B15C26F}"/>
            </c:ext>
          </c:extLst>
        </c:ser>
        <c:ser>
          <c:idx val="2"/>
          <c:order val="2"/>
          <c:tx>
            <c:strRef>
              <c:f>Foglio1!$D$1</c:f>
              <c:strCache>
                <c:ptCount val="1"/>
                <c:pt idx="0">
                  <c:v>Serie 3</c:v>
                </c:pt>
              </c:strCache>
            </c:strRef>
          </c:tx>
          <c:spPr>
            <a:solidFill>
              <a:schemeClr val="dk1">
                <a:tint val="75000"/>
              </a:schemeClr>
            </a:solidFill>
            <a:ln>
              <a:noFill/>
            </a:ln>
            <a:effectLst/>
          </c:spPr>
          <c:invertIfNegative val="0"/>
          <c:cat>
            <c:strRef>
              <c:f>Foglio1!$A$2:$A$5</c:f>
              <c:strCache>
                <c:ptCount val="4"/>
                <c:pt idx="0">
                  <c:v>Categoria 1</c:v>
                </c:pt>
                <c:pt idx="1">
                  <c:v>Categoria 2</c:v>
                </c:pt>
                <c:pt idx="2">
                  <c:v>Categoria 3</c:v>
                </c:pt>
                <c:pt idx="3">
                  <c:v>Categoria 4</c:v>
                </c:pt>
              </c:strCache>
            </c:strRef>
          </c:cat>
          <c:val>
            <c:numRef>
              <c:f>Foglio1!$D$2:$D$5</c:f>
              <c:numCache>
                <c:formatCode>General</c:formatCode>
                <c:ptCount val="4"/>
                <c:pt idx="0">
                  <c:v>2</c:v>
                </c:pt>
                <c:pt idx="1">
                  <c:v>2</c:v>
                </c:pt>
                <c:pt idx="2">
                  <c:v>3</c:v>
                </c:pt>
                <c:pt idx="3">
                  <c:v>5</c:v>
                </c:pt>
              </c:numCache>
            </c:numRef>
          </c:val>
          <c:extLst>
            <c:ext xmlns:c16="http://schemas.microsoft.com/office/drawing/2014/chart" uri="{C3380CC4-5D6E-409C-BE32-E72D297353CC}">
              <c16:uniqueId val="{00000002-0FB9-425C-8737-3D567B15C26F}"/>
            </c:ext>
          </c:extLst>
        </c:ser>
        <c:dLbls>
          <c:showLegendKey val="0"/>
          <c:showVal val="0"/>
          <c:showCatName val="0"/>
          <c:showSerName val="0"/>
          <c:showPercent val="0"/>
          <c:showBubbleSize val="0"/>
        </c:dLbls>
        <c:gapWidth val="219"/>
        <c:overlap val="-27"/>
        <c:axId val="1473534031"/>
        <c:axId val="1284437487"/>
      </c:barChart>
      <c:catAx>
        <c:axId val="147353403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ZapfHumnst BT" panose="020B0502050508020304" pitchFamily="34" charset="0"/>
                <a:ea typeface="+mn-ea"/>
                <a:cs typeface="+mn-cs"/>
              </a:defRPr>
            </a:pPr>
            <a:endParaRPr lang="it-IT"/>
          </a:p>
        </c:txPr>
        <c:crossAx val="1284437487"/>
        <c:crosses val="autoZero"/>
        <c:auto val="1"/>
        <c:lblAlgn val="ctr"/>
        <c:lblOffset val="100"/>
        <c:noMultiLvlLbl val="0"/>
      </c:catAx>
      <c:valAx>
        <c:axId val="128443748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ZapfHumnst BT" panose="020B0502050508020304" pitchFamily="34" charset="0"/>
                <a:ea typeface="+mn-ea"/>
                <a:cs typeface="+mn-cs"/>
              </a:defRPr>
            </a:pPr>
            <a:endParaRPr lang="it-IT"/>
          </a:p>
        </c:txPr>
        <c:crossAx val="147353403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ZapfHumnst BT" panose="020B0502050508020304" pitchFamily="34" charset="0"/>
              <a:ea typeface="+mn-ea"/>
              <a:cs typeface="+mn-cs"/>
            </a:defRPr>
          </a:pPr>
          <a:endParaRPr lang="it-I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latin typeface="ZapfHumnst BT" panose="020B0502050508020304" pitchFamily="34" charset="0"/>
        </a:defRPr>
      </a:pPr>
      <a:endParaRPr lang="it-IT"/>
    </a:p>
  </c:txPr>
  <c:externalData r:id="rId3">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6652E0-A1EB-431C-BA9F-8844C2319E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1264</Words>
  <Characters>7209</Characters>
  <Application>Microsoft Office Word</Application>
  <DocSecurity>0</DocSecurity>
  <Lines>60</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mattia.martini1@unimib.it</dc:creator>
  <cp:keywords/>
  <dc:description/>
  <cp:lastModifiedBy>Maria Francesca Renzi</cp:lastModifiedBy>
  <cp:revision>2</cp:revision>
  <dcterms:created xsi:type="dcterms:W3CDTF">2026-07-01T13:16:00Z</dcterms:created>
  <dcterms:modified xsi:type="dcterms:W3CDTF">2026-07-01T13:16:00Z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ee5242a6-b056-4bfd-8a54-0422f651fcc0</vt:lpwstr>
  </property>
</Properties>
</file>